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EA21" w14:textId="77777777" w:rsidR="00B156AF" w:rsidRPr="00A76992" w:rsidRDefault="00721C44" w:rsidP="00B156AF">
      <w:pPr>
        <w:jc w:val="center"/>
        <w:rPr>
          <w:b/>
          <w:sz w:val="28"/>
        </w:rPr>
      </w:pPr>
      <w:r>
        <w:rPr>
          <w:b/>
          <w:sz w:val="28"/>
        </w:rPr>
        <w:t>Hypermobility/</w:t>
      </w:r>
      <w:r w:rsidR="00B156AF">
        <w:rPr>
          <w:b/>
          <w:sz w:val="28"/>
        </w:rPr>
        <w:t>Ehlers</w:t>
      </w:r>
      <w:r w:rsidR="00B156AF" w:rsidRPr="00A76992">
        <w:rPr>
          <w:b/>
          <w:sz w:val="28"/>
        </w:rPr>
        <w:t xml:space="preserve">-Danlos Syndrome and </w:t>
      </w:r>
      <w:r w:rsidR="00B156AF">
        <w:rPr>
          <w:b/>
          <w:sz w:val="28"/>
        </w:rPr>
        <w:t xml:space="preserve">the </w:t>
      </w:r>
      <w:r w:rsidR="00B156AF" w:rsidRPr="00A76992">
        <w:rPr>
          <w:b/>
          <w:sz w:val="28"/>
        </w:rPr>
        <w:t>Parasympathetic and Sympat</w:t>
      </w:r>
      <w:r w:rsidR="00B156AF">
        <w:rPr>
          <w:b/>
          <w:sz w:val="28"/>
        </w:rPr>
        <w:t>hetic Nervous Systems</w:t>
      </w:r>
      <w:r w:rsidR="00B156AF" w:rsidRPr="00A76992">
        <w:rPr>
          <w:b/>
          <w:sz w:val="28"/>
        </w:rPr>
        <w:t>.</w:t>
      </w:r>
    </w:p>
    <w:p w14:paraId="3896D432" w14:textId="3009A866" w:rsidR="00B156AF" w:rsidRDefault="00370184" w:rsidP="00B156AF">
      <w:pPr>
        <w:jc w:val="center"/>
      </w:pPr>
      <w:r>
        <w:t>DePace NL, Santos, L</w:t>
      </w:r>
      <w:r>
        <w:rPr>
          <w:rFonts w:eastAsia="Calibri" w:cs="Times New Roman"/>
        </w:rPr>
        <w:t>;</w:t>
      </w:r>
      <w:r>
        <w:t xml:space="preserve"> Goldis M, Acosta CR, </w:t>
      </w:r>
      <w:r w:rsidRPr="002567D4">
        <w:rPr>
          <w:rFonts w:eastAsia="Calibri" w:cs="Times New Roman"/>
        </w:rPr>
        <w:t>Munoz, R</w:t>
      </w:r>
      <w:r>
        <w:rPr>
          <w:rFonts w:eastAsia="Calibri" w:cs="Times New Roman"/>
        </w:rPr>
        <w:t>;</w:t>
      </w:r>
      <w:r w:rsidRPr="002567D4">
        <w:rPr>
          <w:rFonts w:eastAsia="Calibri" w:cs="Times New Roman"/>
        </w:rPr>
        <w:t xml:space="preserve"> Ahm</w:t>
      </w:r>
      <w:r>
        <w:rPr>
          <w:rFonts w:eastAsia="Calibri" w:cs="Times New Roman"/>
        </w:rPr>
        <w:t>a</w:t>
      </w:r>
      <w:r w:rsidRPr="002567D4">
        <w:rPr>
          <w:rFonts w:eastAsia="Calibri" w:cs="Times New Roman"/>
        </w:rPr>
        <w:t xml:space="preserve">d, </w:t>
      </w:r>
      <w:r>
        <w:rPr>
          <w:rFonts w:eastAsia="Calibri" w:cs="Times New Roman"/>
        </w:rPr>
        <w:t>G</w:t>
      </w:r>
      <w:r w:rsidRPr="002567D4">
        <w:rPr>
          <w:rFonts w:eastAsia="Calibri" w:cs="Times New Roman"/>
        </w:rPr>
        <w:t>;</w:t>
      </w:r>
      <w:r>
        <w:rPr>
          <w:rFonts w:eastAsia="Calibri" w:cs="Times New Roman"/>
        </w:rPr>
        <w:t xml:space="preserve"> Verma, </w:t>
      </w:r>
      <w:r w:rsidRPr="00FD1258">
        <w:rPr>
          <w:rFonts w:eastAsia="Calibri" w:cs="Times New Roman"/>
        </w:rPr>
        <w:t>A</w:t>
      </w:r>
      <w:r>
        <w:rPr>
          <w:rFonts w:eastAsia="Calibri" w:cs="Times New Roman"/>
        </w:rPr>
        <w:t>;</w:t>
      </w:r>
      <w:r>
        <w:t xml:space="preserve"> DePace Jr. NL, Kaczmarski K, Colombo J.</w:t>
      </w:r>
    </w:p>
    <w:p w14:paraId="3252C3BF" w14:textId="77777777" w:rsidR="00DB2B50" w:rsidRDefault="00DB2B50">
      <w:pPr>
        <w:rPr>
          <w:bCs/>
        </w:rPr>
      </w:pPr>
    </w:p>
    <w:p w14:paraId="1CCDEBC9" w14:textId="3555A975" w:rsidR="00674FA4" w:rsidRPr="001B30EA" w:rsidRDefault="0088598D">
      <w:pPr>
        <w:rPr>
          <w:b/>
        </w:rPr>
      </w:pPr>
      <w:r w:rsidRPr="001B30EA">
        <w:rPr>
          <w:b/>
        </w:rPr>
        <w:t>ABSTRACT</w:t>
      </w:r>
    </w:p>
    <w:p w14:paraId="512B8299" w14:textId="4ED01889" w:rsidR="00674FA4" w:rsidRPr="00674FA4" w:rsidRDefault="008B70D8">
      <w:pPr>
        <w:rPr>
          <w:bCs/>
        </w:rPr>
      </w:pPr>
      <w:bookmarkStart w:id="0" w:name="_Hlk109016711"/>
      <w:r w:rsidRPr="008B70D8">
        <w:rPr>
          <w:b/>
          <w:bCs/>
        </w:rPr>
        <w:t>Introduction</w:t>
      </w:r>
      <w:r>
        <w:t xml:space="preserve">.  </w:t>
      </w:r>
      <w:r w:rsidR="00674FA4" w:rsidRPr="00B156AF">
        <w:t>Ehlers-Danlos Syndrome</w:t>
      </w:r>
      <w:r w:rsidR="00674FA4">
        <w:t>/</w:t>
      </w:r>
      <w:r w:rsidR="00674FA4" w:rsidRPr="00B156AF">
        <w:t xml:space="preserve">Hypermobility </w:t>
      </w:r>
      <w:r w:rsidR="00674FA4">
        <w:t>(EDSh)</w:t>
      </w:r>
      <w:r w:rsidR="00674FA4" w:rsidRPr="00674FA4">
        <w:t xml:space="preserve"> </w:t>
      </w:r>
      <w:r w:rsidR="00674FA4">
        <w:t>patients they demonstrate some degree of autonomic dysfunction (</w:t>
      </w:r>
      <w:r w:rsidR="00674FA4">
        <w:rPr>
          <w:i/>
        </w:rPr>
        <w:t>a.k.a.</w:t>
      </w:r>
      <w:r w:rsidR="00674FA4">
        <w:t xml:space="preserve">, dysautonomia).  In general, dysautonomia is the effect of an imbalance between the two autonomic branches:  the </w:t>
      </w:r>
      <w:r w:rsidR="00674FA4" w:rsidRPr="00FE5351">
        <w:t xml:space="preserve">Parasympathetic and Sympathetic </w:t>
      </w:r>
      <w:r w:rsidR="00674FA4">
        <w:t xml:space="preserve">(P&amp;S) </w:t>
      </w:r>
      <w:r w:rsidR="00674FA4" w:rsidRPr="00FE5351">
        <w:t>nervous system</w:t>
      </w:r>
      <w:r w:rsidR="00674FA4">
        <w:t xml:space="preserve">s.  </w:t>
      </w:r>
      <w:r w:rsidRPr="008B70D8">
        <w:rPr>
          <w:b/>
          <w:bCs/>
        </w:rPr>
        <w:t>Methods</w:t>
      </w:r>
      <w:r>
        <w:t xml:space="preserve">.  </w:t>
      </w:r>
      <w:bookmarkStart w:id="1" w:name="_Hlk109016171"/>
      <w:r>
        <w:t xml:space="preserve">From a suburban cariology and autonomic clinic (Sicklerville, NJ) drawing patients from around the world, a </w:t>
      </w:r>
      <w:r w:rsidR="00674FA4">
        <w:t xml:space="preserve">cohort of 243 patients </w:t>
      </w:r>
      <w:r w:rsidR="00674FA4" w:rsidRPr="0086566E">
        <w:t>(223 female, 9</w:t>
      </w:r>
      <w:r w:rsidR="00674FA4">
        <w:t>1</w:t>
      </w:r>
      <w:r w:rsidR="00674FA4" w:rsidRPr="0086566E">
        <w:t>.</w:t>
      </w:r>
      <w:r w:rsidR="00674FA4">
        <w:t>8</w:t>
      </w:r>
      <w:r w:rsidR="00674FA4" w:rsidRPr="0086566E">
        <w:t>%; average age 34</w:t>
      </w:r>
      <w:r w:rsidR="00674FA4">
        <w:t xml:space="preserve">.0 </w:t>
      </w:r>
      <w:proofErr w:type="spellStart"/>
      <w:r w:rsidR="00674FA4" w:rsidRPr="0086566E">
        <w:t>yrs</w:t>
      </w:r>
      <w:proofErr w:type="spellEnd"/>
      <w:r w:rsidR="00674FA4" w:rsidRPr="0086566E">
        <w:t xml:space="preserve">, range 13 to 65 y/o; average </w:t>
      </w:r>
      <w:r w:rsidR="00674FA4">
        <w:t>BMI 27.3#/in</w:t>
      </w:r>
      <w:r w:rsidR="00674FA4" w:rsidRPr="0077061E">
        <w:rPr>
          <w:vertAlign w:val="superscript"/>
        </w:rPr>
        <w:t>2</w:t>
      </w:r>
      <w:r w:rsidR="00674FA4" w:rsidRPr="0086566E">
        <w:t xml:space="preserve">) previously diagnosed by Rheumatology with </w:t>
      </w:r>
      <w:r w:rsidR="00674FA4">
        <w:t>EDSh</w:t>
      </w:r>
      <w:r>
        <w:t xml:space="preserve"> were followed from </w:t>
      </w:r>
      <w:r w:rsidRPr="008E361D">
        <w:t xml:space="preserve">between </w:t>
      </w:r>
      <w:r w:rsidR="00C9400A" w:rsidRPr="0086566E">
        <w:t>November 2018 through May 2020</w:t>
      </w:r>
      <w:r w:rsidR="00674FA4">
        <w:t>.  Baseline and at least two follow-up</w:t>
      </w:r>
      <w:r w:rsidR="006973C2">
        <w:t xml:space="preserve"> autonomic tests, with questionnaires, were administered.</w:t>
      </w:r>
      <w:r w:rsidR="00806DD5">
        <w:t xml:space="preserve">  </w:t>
      </w:r>
      <w:bookmarkEnd w:id="1"/>
      <w:r w:rsidRPr="008B70D8">
        <w:rPr>
          <w:b/>
          <w:bCs/>
        </w:rPr>
        <w:t>Results</w:t>
      </w:r>
      <w:r>
        <w:t xml:space="preserve">.  </w:t>
      </w:r>
      <w:r w:rsidR="00806DD5">
        <w:t>While the etiology of EDSh is still being studied, the autonomic dysfunction, specifically both Parasympathetic and Sympathetic dysfunction caused by the results of the connective tissue disorder, may be documented</w:t>
      </w:r>
      <w:r w:rsidR="000F67D4">
        <w:t>,</w:t>
      </w:r>
      <w:r w:rsidR="00806DD5">
        <w:t xml:space="preserve"> diagnosed</w:t>
      </w:r>
      <w:r w:rsidR="000F67D4">
        <w:t>, and treated</w:t>
      </w:r>
      <w:r w:rsidR="00806DD5">
        <w:t xml:space="preserve">.  </w:t>
      </w:r>
      <w:r w:rsidR="000F67D4" w:rsidRPr="000F67D4">
        <w:rPr>
          <w:b/>
          <w:bCs/>
        </w:rPr>
        <w:t>Conclusion</w:t>
      </w:r>
      <w:r w:rsidR="000F67D4">
        <w:t xml:space="preserve">.  </w:t>
      </w:r>
      <w:r w:rsidR="00806DD5">
        <w:t>This is just the beginning of a research effort that must include many more patients from many more sources as EDSh awareness continues to grow.</w:t>
      </w:r>
      <w:bookmarkEnd w:id="0"/>
    </w:p>
    <w:p w14:paraId="79D5F912" w14:textId="77777777" w:rsidR="0088598D" w:rsidRPr="0088598D" w:rsidRDefault="0088598D" w:rsidP="0088598D">
      <w:pPr>
        <w:rPr>
          <w:rFonts w:cs="Times New Roman"/>
          <w:sz w:val="20"/>
          <w:szCs w:val="20"/>
          <w:shd w:val="clear" w:color="auto" w:fill="F0F0F1"/>
        </w:rPr>
      </w:pPr>
      <w:r w:rsidRPr="0088598D">
        <w:rPr>
          <w:rFonts w:cs="Times New Roman"/>
          <w:b/>
          <w:bCs/>
          <w:sz w:val="20"/>
          <w:szCs w:val="20"/>
          <w:shd w:val="clear" w:color="auto" w:fill="F0F0F1"/>
        </w:rPr>
        <w:t>Copyright</w:t>
      </w:r>
      <w:r w:rsidRPr="0088598D">
        <w:rPr>
          <w:rFonts w:cs="Times New Roman"/>
          <w:sz w:val="20"/>
          <w:szCs w:val="20"/>
          <w:shd w:val="clear" w:color="auto" w:fill="F0F0F1"/>
        </w:rPr>
        <w:t xml:space="preserve">:  </w:t>
      </w:r>
      <w:r w:rsidRPr="0088598D">
        <w:rPr>
          <w:rFonts w:eastAsia="Calibri" w:cs="Times New Roman"/>
          <w:sz w:val="20"/>
          <w:szCs w:val="20"/>
        </w:rPr>
        <w:t>© 2022 by the authors. Submitted for open access publication under the Journal of Individualized Medicine and Therapies, of the Society of Individualized Medicine and Therapies, Inc.</w:t>
      </w:r>
    </w:p>
    <w:p w14:paraId="2A5E3588" w14:textId="77777777" w:rsidR="0088598D" w:rsidRDefault="0088598D">
      <w:pPr>
        <w:rPr>
          <w:bCs/>
        </w:rPr>
      </w:pPr>
    </w:p>
    <w:p w14:paraId="785B76DE" w14:textId="77777777" w:rsidR="001B30EA" w:rsidRDefault="001B30EA">
      <w:pPr>
        <w:rPr>
          <w:b/>
        </w:rPr>
        <w:sectPr w:rsidR="001B30EA">
          <w:headerReference w:type="default" r:id="rId7"/>
          <w:footerReference w:type="default" r:id="rId8"/>
          <w:footnotePr>
            <w:numFmt w:val="chicago"/>
          </w:footnotePr>
          <w:endnotePr>
            <w:numFmt w:val="decimal"/>
          </w:endnotePr>
          <w:pgSz w:w="12240" w:h="15840"/>
          <w:pgMar w:top="1440" w:right="1440" w:bottom="1440" w:left="1440" w:header="720" w:footer="720" w:gutter="0"/>
          <w:cols w:space="720"/>
          <w:docGrid w:linePitch="360"/>
        </w:sectPr>
      </w:pPr>
    </w:p>
    <w:p w14:paraId="0D5764B3" w14:textId="20C11563" w:rsidR="003529E7" w:rsidRPr="001B30EA" w:rsidRDefault="0088598D">
      <w:pPr>
        <w:rPr>
          <w:b/>
        </w:rPr>
      </w:pPr>
      <w:r w:rsidRPr="001B30EA">
        <w:rPr>
          <w:b/>
        </w:rPr>
        <w:t>INTRODUCTION</w:t>
      </w:r>
    </w:p>
    <w:p w14:paraId="6CBED508" w14:textId="0CE3DF60" w:rsidR="00DD27AB" w:rsidRDefault="00B156AF">
      <w:r w:rsidRPr="00B156AF">
        <w:t>Ehlers-Danlos Syndrome</w:t>
      </w:r>
      <w:r w:rsidR="00B02411">
        <w:t>/</w:t>
      </w:r>
      <w:r w:rsidR="00B02411" w:rsidRPr="00B156AF">
        <w:t>Hypermobility</w:t>
      </w:r>
      <w:r w:rsidRPr="00B156AF">
        <w:t xml:space="preserve"> </w:t>
      </w:r>
      <w:r w:rsidR="00FE5351">
        <w:t>(</w:t>
      </w:r>
      <w:r w:rsidR="00B02411">
        <w:t>EDSh</w:t>
      </w:r>
      <w:r w:rsidR="00FE5351">
        <w:t xml:space="preserve">) </w:t>
      </w:r>
      <w:r>
        <w:t>define</w:t>
      </w:r>
      <w:r w:rsidR="0058539B">
        <w:t>s</w:t>
      </w:r>
      <w:r>
        <w:t xml:space="preserve"> a spectrum of connective tissue disorders that are caused by defects in the genetic information that is used in humans to produce collagen.  </w:t>
      </w:r>
      <w:r w:rsidR="002249C6">
        <w:t xml:space="preserve">In both, </w:t>
      </w:r>
      <w:r>
        <w:t xml:space="preserve">the collagen </w:t>
      </w:r>
      <w:r w:rsidR="002249C6">
        <w:t>is</w:t>
      </w:r>
      <w:r>
        <w:t xml:space="preserve"> long and flexible, rather than short and stiff</w:t>
      </w:r>
      <w:r w:rsidR="002249C6">
        <w:t>.  This</w:t>
      </w:r>
      <w:r>
        <w:t xml:space="preserve"> result</w:t>
      </w:r>
      <w:r w:rsidR="002249C6">
        <w:t>s</w:t>
      </w:r>
      <w:r>
        <w:t xml:space="preserve"> in </w:t>
      </w:r>
      <w:r w:rsidR="00FE5351">
        <w:t>loose and “leaky” connective tissue</w:t>
      </w:r>
      <w:r w:rsidR="002249C6">
        <w:t xml:space="preserve">.  </w:t>
      </w:r>
      <w:r w:rsidR="00721C44">
        <w:t>EDS</w:t>
      </w:r>
      <w:r w:rsidR="00B02411">
        <w:t>h</w:t>
      </w:r>
      <w:r w:rsidR="00721C44">
        <w:t xml:space="preserve"> may be inherited, usually an autosomal dominant</w:t>
      </w:r>
      <w:r w:rsidR="0058539B">
        <w:t xml:space="preserve"> trait</w:t>
      </w:r>
      <w:r w:rsidR="00B51D5B">
        <w:t>;</w:t>
      </w:r>
      <w:r w:rsidR="00721C44">
        <w:t xml:space="preserve"> however</w:t>
      </w:r>
      <w:r w:rsidR="00B51D5B">
        <w:t>,</w:t>
      </w:r>
      <w:r w:rsidR="00721C44">
        <w:t xml:space="preserve"> </w:t>
      </w:r>
      <w:r w:rsidR="002359F3">
        <w:t xml:space="preserve">acquired </w:t>
      </w:r>
      <w:r w:rsidR="00721C44">
        <w:t>cases occur frequently</w:t>
      </w:r>
      <w:r w:rsidR="00FE5351">
        <w:t>.  To date</w:t>
      </w:r>
      <w:r w:rsidR="00B51D5B">
        <w:t>,</w:t>
      </w:r>
      <w:r w:rsidR="00FE5351">
        <w:t xml:space="preserve"> there is no known cure for </w:t>
      </w:r>
      <w:r w:rsidR="00B02411">
        <w:t>EDSh</w:t>
      </w:r>
      <w:r w:rsidR="00FE5351">
        <w:t>.  However</w:t>
      </w:r>
      <w:r w:rsidR="00B51D5B">
        <w:t>,</w:t>
      </w:r>
      <w:r w:rsidR="00FE5351">
        <w:t xml:space="preserve"> there are a few characteristics that are well known (in no particular order):  1) it affects females significantly more than males; 2) in the young, the additional flexibility seems advantageous due to the lack of significant symptoms; 3) generally, around the end of development (during later teens or early 20s)</w:t>
      </w:r>
      <w:r w:rsidR="00B51D5B">
        <w:t>,</w:t>
      </w:r>
      <w:r w:rsidR="00FE5351">
        <w:t xml:space="preserve"> symptoms begin to present, and </w:t>
      </w:r>
      <w:r w:rsidR="00FE5351">
        <w:t>generally active and vivacious teenagers become sickly for no apparent reason</w:t>
      </w:r>
      <w:r w:rsidR="00A820FF">
        <w:t xml:space="preserve"> with poor and, frequently, debilitating qualities of life</w:t>
      </w:r>
      <w:r w:rsidR="00FE5351">
        <w:t>.</w:t>
      </w:r>
    </w:p>
    <w:p w14:paraId="6FFF81F9" w14:textId="34860616" w:rsidR="00DD27AB" w:rsidRDefault="0058539B">
      <w:r>
        <w:t xml:space="preserve">Another primary characteristic of </w:t>
      </w:r>
      <w:r w:rsidR="00B02411">
        <w:t>EDSh</w:t>
      </w:r>
      <w:r>
        <w:t xml:space="preserve"> patients </w:t>
      </w:r>
      <w:r w:rsidR="00FA329D">
        <w:t xml:space="preserve">is that they demonstrate </w:t>
      </w:r>
      <w:r>
        <w:t>some degree of autonomic dysfunction</w:t>
      </w:r>
      <w:r w:rsidR="00166951">
        <w:t xml:space="preserve"> (</w:t>
      </w:r>
      <w:r w:rsidR="00166951">
        <w:rPr>
          <w:i/>
        </w:rPr>
        <w:t>a.k.a.</w:t>
      </w:r>
      <w:r w:rsidR="00166951">
        <w:t>, dysautonomia)</w:t>
      </w:r>
      <w:r w:rsidR="00FA329D">
        <w:t xml:space="preserve">.  This may explain the last two characteristics listed above.  During development, except for a couple of years around ages 8 and 15 when development slows down, the autonomic nervous system </w:t>
      </w:r>
      <w:r w:rsidR="00115AB7">
        <w:t xml:space="preserve">(ANS) </w:t>
      </w:r>
      <w:r w:rsidR="00FA329D">
        <w:t xml:space="preserve">is very active in development; therefore, dysautonomia symptoms are masked and the symptoms that appear are attributed to current factors with largely unknown histories.  Once development ends, in the late teens or early twenties, dysautonomia symptoms are unmasked and the effects of </w:t>
      </w:r>
      <w:r w:rsidR="00166951">
        <w:t xml:space="preserve">a </w:t>
      </w:r>
      <w:r w:rsidR="00FA329D">
        <w:t xml:space="preserve">persistently overactive </w:t>
      </w:r>
      <w:r w:rsidR="00115AB7">
        <w:t>ANS</w:t>
      </w:r>
      <w:r w:rsidR="00166951">
        <w:t xml:space="preserve"> presents.  In general, dysautonomia is the </w:t>
      </w:r>
      <w:r w:rsidR="00166951">
        <w:lastRenderedPageBreak/>
        <w:t>effect of an imbalance between the two autonomic branches:  the</w:t>
      </w:r>
      <w:r w:rsidR="00FA329D">
        <w:t xml:space="preserve"> </w:t>
      </w:r>
      <w:r w:rsidR="00FA329D" w:rsidRPr="00FE5351">
        <w:t xml:space="preserve">Parasympathetic and Sympathetic </w:t>
      </w:r>
      <w:r w:rsidR="00FA329D">
        <w:t xml:space="preserve">(P&amp;S) </w:t>
      </w:r>
      <w:r w:rsidR="00FA329D" w:rsidRPr="00FE5351">
        <w:t>nervous system</w:t>
      </w:r>
      <w:r w:rsidR="00FA329D">
        <w:t>s</w:t>
      </w:r>
      <w:r>
        <w:t xml:space="preserve">.  </w:t>
      </w:r>
      <w:r w:rsidR="00DD27AB">
        <w:t>Here</w:t>
      </w:r>
      <w:r w:rsidR="00B51D5B">
        <w:t>,</w:t>
      </w:r>
      <w:r w:rsidR="00DD27AB">
        <w:t xml:space="preserve"> we introduce </w:t>
      </w:r>
      <w:r w:rsidR="00DE6F3D">
        <w:t>a</w:t>
      </w:r>
      <w:r w:rsidR="00A820FF">
        <w:t xml:space="preserve"> clinical cohort and some general characteristics</w:t>
      </w:r>
      <w:r w:rsidR="00FA329D">
        <w:t xml:space="preserve"> of P&amp;S function in 243 patients, predominantly female</w:t>
      </w:r>
      <w:r w:rsidR="00A820FF">
        <w:t>.</w:t>
      </w:r>
    </w:p>
    <w:p w14:paraId="382A2737" w14:textId="1BD6934E" w:rsidR="00DD27AB" w:rsidRPr="001B30EA" w:rsidRDefault="00AD6244">
      <w:pPr>
        <w:rPr>
          <w:b/>
        </w:rPr>
      </w:pPr>
      <w:r w:rsidRPr="001B30EA">
        <w:rPr>
          <w:b/>
        </w:rPr>
        <w:t>METHODS</w:t>
      </w:r>
    </w:p>
    <w:p w14:paraId="442F4943" w14:textId="21764A67" w:rsidR="00D84056" w:rsidRDefault="00A820FF">
      <w:r>
        <w:t>From a single, suburban, cardio</w:t>
      </w:r>
      <w:r w:rsidR="00EE543B">
        <w:t>vascular</w:t>
      </w:r>
      <w:r>
        <w:t xml:space="preserve"> </w:t>
      </w:r>
      <w:r w:rsidR="007A023E">
        <w:rPr>
          <w:color w:val="000000"/>
        </w:rPr>
        <w:t>and</w:t>
      </w:r>
      <w:r w:rsidR="007A023E">
        <w:t xml:space="preserve"> </w:t>
      </w:r>
      <w:r w:rsidR="007A023E">
        <w:rPr>
          <w:color w:val="000000"/>
        </w:rPr>
        <w:t xml:space="preserve">autonomic dysfunction </w:t>
      </w:r>
      <w:r>
        <w:t>clinic in the northeastern United States of America</w:t>
      </w:r>
      <w:r w:rsidR="00B034AB">
        <w:t xml:space="preserve"> (</w:t>
      </w:r>
      <w:r w:rsidR="00C9400A">
        <w:t xml:space="preserve">Sicklerville, NJ, </w:t>
      </w:r>
      <w:r w:rsidR="00B034AB">
        <w:t>USA)</w:t>
      </w:r>
      <w:r>
        <w:t xml:space="preserve">, </w:t>
      </w:r>
      <w:r w:rsidR="0086566E">
        <w:t xml:space="preserve">243 </w:t>
      </w:r>
      <w:r>
        <w:t xml:space="preserve">patients </w:t>
      </w:r>
      <w:r w:rsidR="0057116E" w:rsidRPr="0086566E">
        <w:t>(22</w:t>
      </w:r>
      <w:r w:rsidR="0086566E" w:rsidRPr="0086566E">
        <w:t>3</w:t>
      </w:r>
      <w:r w:rsidR="0057116E" w:rsidRPr="0086566E">
        <w:t xml:space="preserve"> female, 9</w:t>
      </w:r>
      <w:r w:rsidR="0086566E">
        <w:t>1</w:t>
      </w:r>
      <w:r w:rsidR="0057116E" w:rsidRPr="0086566E">
        <w:t>.</w:t>
      </w:r>
      <w:r w:rsidR="0086566E">
        <w:t>8</w:t>
      </w:r>
      <w:r w:rsidR="0057116E" w:rsidRPr="0086566E">
        <w:t>%; average age 34</w:t>
      </w:r>
      <w:r w:rsidR="0077061E">
        <w:t>.0</w:t>
      </w:r>
      <w:r w:rsidR="00A51A76">
        <w:t xml:space="preserve"> </w:t>
      </w:r>
      <w:proofErr w:type="spellStart"/>
      <w:r w:rsidR="0057116E" w:rsidRPr="0086566E">
        <w:t>yrs</w:t>
      </w:r>
      <w:proofErr w:type="spellEnd"/>
      <w:r w:rsidR="0057116E" w:rsidRPr="0086566E">
        <w:t xml:space="preserve">, range 13 to 65 y/o; average </w:t>
      </w:r>
      <w:r w:rsidR="0077061E">
        <w:t>BMI 27.3#/in</w:t>
      </w:r>
      <w:r w:rsidR="0077061E" w:rsidRPr="0077061E">
        <w:rPr>
          <w:vertAlign w:val="superscript"/>
        </w:rPr>
        <w:t>2</w:t>
      </w:r>
      <w:r w:rsidR="0057116E" w:rsidRPr="0086566E">
        <w:t xml:space="preserve">) </w:t>
      </w:r>
      <w:r w:rsidRPr="0086566E">
        <w:t xml:space="preserve">previously diagnosed by Rheumatology with </w:t>
      </w:r>
      <w:r w:rsidR="00B02411">
        <w:t>EDSh</w:t>
      </w:r>
      <w:r w:rsidRPr="0086566E">
        <w:t xml:space="preserve"> were referred from November 2018 through May 2020.  </w:t>
      </w:r>
      <w:r w:rsidR="007A023E" w:rsidRPr="0086566E">
        <w:t>This patient cohort included a significant number of patien</w:t>
      </w:r>
      <w:r w:rsidR="007A023E">
        <w:t xml:space="preserve">ts from across the </w:t>
      </w:r>
      <w:r w:rsidR="00B034AB">
        <w:t>USA</w:t>
      </w:r>
      <w:r w:rsidR="007A023E">
        <w:t xml:space="preserve"> and abroad.  Detailed patient histories </w:t>
      </w:r>
      <w:r w:rsidR="00F00C72">
        <w:t xml:space="preserve">and physicals </w:t>
      </w:r>
      <w:r w:rsidR="007A023E">
        <w:t>were taken as routine</w:t>
      </w:r>
      <w:r w:rsidR="00CA2163">
        <w:t xml:space="preserve">, including completing a Beighton Scoring test and the </w:t>
      </w:r>
      <w:r w:rsidR="00B02411">
        <w:t>EDSh</w:t>
      </w:r>
      <w:r w:rsidR="00CA2163">
        <w:t xml:space="preserve"> Diagnostic Checklist from the Ehlers-Danlos</w:t>
      </w:r>
      <w:r w:rsidR="007A023E">
        <w:t xml:space="preserve"> </w:t>
      </w:r>
      <w:r w:rsidR="00CA2163">
        <w:t>Society (</w:t>
      </w:r>
      <w:r w:rsidR="00CA2163" w:rsidRPr="00CA2163">
        <w:t>www.ehlers-danlos.com</w:t>
      </w:r>
      <w:r w:rsidR="00CA2163">
        <w:t xml:space="preserve">).  Testing included </w:t>
      </w:r>
      <w:r w:rsidR="007A023E">
        <w:t>Autonomic testing</w:t>
      </w:r>
      <w:r w:rsidR="00CA2163">
        <w:t>,</w:t>
      </w:r>
      <w:r w:rsidR="007A023E">
        <w:t xml:space="preserve"> including tilt-table testing</w:t>
      </w:r>
      <w:r w:rsidR="00CA2163">
        <w:t>,</w:t>
      </w:r>
      <w:r w:rsidR="007A023E">
        <w:t xml:space="preserve"> </w:t>
      </w:r>
      <w:r w:rsidR="00CA2163">
        <w:t>(</w:t>
      </w:r>
      <w:proofErr w:type="spellStart"/>
      <w:r w:rsidR="007A023E">
        <w:t>TMFlow</w:t>
      </w:r>
      <w:proofErr w:type="spellEnd"/>
      <w:r w:rsidR="007A023E">
        <w:t>, Wake Forest, NC)</w:t>
      </w:r>
      <w:r w:rsidR="00F0541D">
        <w:t xml:space="preserve"> and P&amp;S Monitoring (Physio PS, Inc., Atlanta, GA)</w:t>
      </w:r>
      <w:r w:rsidR="00F00C72">
        <w:t>;</w:t>
      </w:r>
      <w:r w:rsidR="007A023E">
        <w:t xml:space="preserve"> Vestibular testing</w:t>
      </w:r>
      <w:r w:rsidR="00F00C72">
        <w:t>;</w:t>
      </w:r>
      <w:r w:rsidR="007A023E">
        <w:t xml:space="preserve"> Mast Cell </w:t>
      </w:r>
      <w:r w:rsidR="00CA2163">
        <w:t xml:space="preserve">blood </w:t>
      </w:r>
      <w:r w:rsidR="00F0541D">
        <w:t xml:space="preserve">and urine </w:t>
      </w:r>
      <w:r w:rsidR="00CA2163">
        <w:t>work</w:t>
      </w:r>
      <w:r w:rsidR="00F00C72">
        <w:t>;</w:t>
      </w:r>
      <w:r w:rsidR="00CA2163">
        <w:t xml:space="preserve"> Small Fiber Neuropathy </w:t>
      </w:r>
      <w:r w:rsidR="00F0541D">
        <w:t xml:space="preserve">(Sudomotor) </w:t>
      </w:r>
      <w:r w:rsidR="00CA2163">
        <w:t>testing</w:t>
      </w:r>
      <w:r w:rsidR="00F00C72">
        <w:t>; age- and symptom-specific cardiology testing;</w:t>
      </w:r>
      <w:r w:rsidR="00CA2163">
        <w:t xml:space="preserve"> and serial P&amp;S Monitoring (Physio PS, Atlanta, GA)</w:t>
      </w:r>
      <w:r w:rsidR="00F00C72">
        <w:t>, which includes the Ewing challenges</w:t>
      </w:r>
      <w:r w:rsidR="00A1753D">
        <w:t xml:space="preserve">.  </w:t>
      </w:r>
      <w:r w:rsidR="00FF7ED0">
        <w:t xml:space="preserve">P&amp;S Monitoring includes </w:t>
      </w:r>
      <w:proofErr w:type="spellStart"/>
      <w:r w:rsidR="00FF7ED0">
        <w:t>LFa</w:t>
      </w:r>
      <w:proofErr w:type="spellEnd"/>
      <w:r w:rsidR="00FF7ED0">
        <w:t xml:space="preserve"> as the direct measure of Sympathetic </w:t>
      </w:r>
      <w:r w:rsidR="00A51A76">
        <w:t xml:space="preserve">(S) </w:t>
      </w:r>
      <w:r w:rsidR="00FF7ED0">
        <w:t xml:space="preserve">activity, </w:t>
      </w:r>
      <w:proofErr w:type="spellStart"/>
      <w:r w:rsidR="00FF7ED0">
        <w:t>RFa</w:t>
      </w:r>
      <w:proofErr w:type="spellEnd"/>
      <w:r w:rsidR="00FF7ED0">
        <w:t xml:space="preserve"> as the direct measure of Parasympathetic</w:t>
      </w:r>
      <w:r w:rsidR="00A51A76">
        <w:t xml:space="preserve"> (P)</w:t>
      </w:r>
      <w:r w:rsidR="00FF7ED0">
        <w:t xml:space="preserve"> activity, and Sympathovagal Balance (SB=S/P, measured at rest as the average of ratios, not the ratio of averages)</w:t>
      </w:r>
      <w:r w:rsidR="00275AB8">
        <w:t xml:space="preserve"> [</w:t>
      </w:r>
      <w:bookmarkStart w:id="2" w:name="_Ref483804527"/>
      <w:r w:rsidR="00275AB8" w:rsidRPr="006E7539">
        <w:endnoteReference w:id="1"/>
      </w:r>
      <w:bookmarkEnd w:id="2"/>
      <w:r w:rsidR="00275AB8">
        <w:t>]</w:t>
      </w:r>
      <w:r w:rsidR="00FF7ED0">
        <w:t xml:space="preserve">. </w:t>
      </w:r>
      <w:r w:rsidR="00A1753D">
        <w:t>The</w:t>
      </w:r>
      <w:r w:rsidR="00F0541D">
        <w:t xml:space="preserve"> blood and urine work</w:t>
      </w:r>
      <w:r w:rsidR="00A1753D">
        <w:t xml:space="preserve"> </w:t>
      </w:r>
      <w:r w:rsidR="00F0541D">
        <w:t xml:space="preserve">were performed by labs, the remaining tests </w:t>
      </w:r>
      <w:r w:rsidR="00A1753D">
        <w:t xml:space="preserve">are </w:t>
      </w:r>
      <w:r w:rsidR="00F0541D">
        <w:t>easily performed in the out-patient setting</w:t>
      </w:r>
      <w:r w:rsidR="00D84056">
        <w:t>.</w:t>
      </w:r>
    </w:p>
    <w:p w14:paraId="651A78D6" w14:textId="5D378C6D" w:rsidR="008F73AF" w:rsidRDefault="004A222B">
      <w:r>
        <w:t xml:space="preserve">All patients had a minimum of two follow-up </w:t>
      </w:r>
      <w:r w:rsidR="00F0541D">
        <w:t xml:space="preserve">P&amp;S Monitoring </w:t>
      </w:r>
      <w:r>
        <w:t>tests</w:t>
      </w:r>
      <w:r w:rsidR="00C72EA1">
        <w:t xml:space="preserve">.  All HRV measures reported are computed based on </w:t>
      </w:r>
      <w:r w:rsidR="00C72EA1">
        <w:t>the 1996 Standards established for HRV</w:t>
      </w:r>
      <w:r w:rsidR="00FA54C1">
        <w:t xml:space="preserve"> [</w:t>
      </w:r>
      <w:bookmarkStart w:id="3" w:name="_Ref266080896"/>
      <w:r w:rsidR="00FA54C1" w:rsidRPr="004C1FEF">
        <w:rPr>
          <w:rStyle w:val="EndnoteReference"/>
          <w:vertAlign w:val="baseline"/>
        </w:rPr>
        <w:endnoteReference w:id="2"/>
      </w:r>
      <w:bookmarkEnd w:id="3"/>
      <w:r w:rsidR="00FA54C1" w:rsidRPr="004C1FEF">
        <w:t>,</w:t>
      </w:r>
      <w:bookmarkStart w:id="4" w:name="_Ref266080897"/>
      <w:r w:rsidR="00FA54C1" w:rsidRPr="004C1FEF">
        <w:rPr>
          <w:rStyle w:val="EndnoteReference"/>
          <w:vertAlign w:val="baseline"/>
        </w:rPr>
        <w:endnoteReference w:id="3"/>
      </w:r>
      <w:bookmarkEnd w:id="4"/>
      <w:r w:rsidR="00FA54C1">
        <w:t>]</w:t>
      </w:r>
      <w:r w:rsidR="00F00C72">
        <w:t>.</w:t>
      </w:r>
      <w:r w:rsidR="00D84056">
        <w:t xml:space="preserve">  Cardiovascular Autonomic Neuropathy (CAN) indicates mortality risk.  It may be demonstrated as all three of the Ewing Ratios being low [</w:t>
      </w:r>
      <w:r w:rsidR="00D84056" w:rsidRPr="00D84056">
        <w:rPr>
          <w:rStyle w:val="EndnoteReference"/>
          <w:vertAlign w:val="baseline"/>
        </w:rPr>
        <w:endnoteReference w:id="4"/>
      </w:r>
      <w:r w:rsidR="00D84056">
        <w:t>] or as the resting Parasympathetic (P) activity &lt; 0.1 bpm</w:t>
      </w:r>
      <w:r w:rsidR="00D84056" w:rsidRPr="00D84056">
        <w:rPr>
          <w:vertAlign w:val="superscript"/>
        </w:rPr>
        <w:t>2</w:t>
      </w:r>
      <w:r w:rsidR="00D84056">
        <w:t xml:space="preserve"> [</w:t>
      </w:r>
      <w:r w:rsidR="00D84056">
        <w:fldChar w:fldCharType="begin"/>
      </w:r>
      <w:r w:rsidR="00D84056">
        <w:instrText xml:space="preserve"> NOTEREF _Ref483804527 \h </w:instrText>
      </w:r>
      <w:r w:rsidR="00D84056">
        <w:fldChar w:fldCharType="separate"/>
      </w:r>
      <w:r w:rsidR="00D84056">
        <w:t>1</w:t>
      </w:r>
      <w:r w:rsidR="00D84056">
        <w:fldChar w:fldCharType="end"/>
      </w:r>
      <w:r w:rsidR="00D84056">
        <w:t>].  In other words, CAN is due to a significant lack of P-activity to prevent excessive Sympathetic (S) activity (which may lead to unrecoverable Ventricular tachy-rhythms, or excessive inflammation, etc.).  CAN is a normal part of life and is an eventuality</w:t>
      </w:r>
      <w:r w:rsidR="00A51A76">
        <w:t>,</w:t>
      </w:r>
      <w:r w:rsidR="00D84056">
        <w:t xml:space="preserve"> given age or duration of chronic disease.</w:t>
      </w:r>
      <w:r w:rsidR="00D84056" w:rsidRPr="00A42BCE">
        <w:t xml:space="preserve">  </w:t>
      </w:r>
      <w:r w:rsidR="00D84056">
        <w:t xml:space="preserve">However, </w:t>
      </w:r>
      <w:r w:rsidR="00D84056" w:rsidRPr="00A42BCE">
        <w:t xml:space="preserve">CAN with high SB (&gt; 2.5) </w:t>
      </w:r>
      <w:r w:rsidR="00D84056">
        <w:t xml:space="preserve">indicates high mortality risk </w:t>
      </w:r>
      <w:r w:rsidR="00D84056" w:rsidRPr="00A42BCE">
        <w:t>[</w:t>
      </w:r>
      <w:r w:rsidR="00D84056" w:rsidRPr="00FF7ED0">
        <w:rPr>
          <w:rStyle w:val="EndnoteReference"/>
          <w:vertAlign w:val="baseline"/>
        </w:rPr>
        <w:endnoteReference w:id="5"/>
      </w:r>
      <w:r w:rsidR="00D84056" w:rsidRPr="00FF7ED0">
        <w:t>,</w:t>
      </w:r>
      <w:r w:rsidR="00D84056" w:rsidRPr="00FF7ED0">
        <w:rPr>
          <w:rStyle w:val="EndnoteReference"/>
          <w:vertAlign w:val="baseline"/>
        </w:rPr>
        <w:endnoteReference w:id="6"/>
      </w:r>
      <w:r w:rsidR="00D84056">
        <w:t xml:space="preserve">] and </w:t>
      </w:r>
      <w:r w:rsidR="00D84056" w:rsidRPr="00A42BCE">
        <w:t xml:space="preserve">is known to </w:t>
      </w:r>
      <w:r w:rsidR="00D84056" w:rsidRPr="00A42BCE">
        <w:rPr>
          <w:szCs w:val="16"/>
        </w:rPr>
        <w:t xml:space="preserve">best predict </w:t>
      </w:r>
      <w:r w:rsidR="00D84056">
        <w:rPr>
          <w:szCs w:val="16"/>
        </w:rPr>
        <w:t>Major Adverse Cardiovascular Events (</w:t>
      </w:r>
      <w:r w:rsidR="00D84056" w:rsidRPr="00A42BCE">
        <w:rPr>
          <w:szCs w:val="16"/>
        </w:rPr>
        <w:t>MACE</w:t>
      </w:r>
      <w:r w:rsidR="00D84056">
        <w:rPr>
          <w:szCs w:val="16"/>
        </w:rPr>
        <w:t>)</w:t>
      </w:r>
      <w:r w:rsidR="00D84056" w:rsidRPr="00A42BCE">
        <w:rPr>
          <w:szCs w:val="16"/>
        </w:rPr>
        <w:t xml:space="preserve"> when compared to nuclear stress and echocardiography</w:t>
      </w:r>
      <w:r w:rsidR="00D84056">
        <w:rPr>
          <w:szCs w:val="16"/>
        </w:rPr>
        <w:t xml:space="preserve"> (sensitivity 0.59 or 7.03 [</w:t>
      </w:r>
      <w:r w:rsidR="00D84056" w:rsidRPr="00A42BCE">
        <w:rPr>
          <w:szCs w:val="16"/>
        </w:rPr>
        <w:t>Confidence Interval 4.59-10.78], specificity 0.83, positive predictive value 0.64 and negative predictive value 0.80)</w:t>
      </w:r>
      <w:r w:rsidR="00D84056" w:rsidRPr="00A42BCE">
        <w:t xml:space="preserve"> </w:t>
      </w:r>
      <w:r w:rsidR="00D84056">
        <w:t>[</w:t>
      </w:r>
      <w:r w:rsidR="00D84056" w:rsidRPr="00FF7ED0">
        <w:rPr>
          <w:rStyle w:val="EndnoteReference"/>
          <w:vertAlign w:val="baseline"/>
        </w:rPr>
        <w:endnoteReference w:id="7"/>
      </w:r>
      <w:r w:rsidR="00D84056" w:rsidRPr="00A42BCE">
        <w:t>]</w:t>
      </w:r>
      <w:r w:rsidR="00D84056">
        <w:t>.</w:t>
      </w:r>
    </w:p>
    <w:p w14:paraId="439AA05B" w14:textId="37130871" w:rsidR="00DD27AB" w:rsidRDefault="008F73AF">
      <w:r w:rsidRPr="00C1044F">
        <w:t>Exclusion criteria included:  pregnancy, nursing, or refu</w:t>
      </w:r>
      <w:r w:rsidR="00B034AB" w:rsidRPr="00C1044F">
        <w:t>s</w:t>
      </w:r>
      <w:r w:rsidRPr="00C1044F">
        <w:t>al of testing.  Also, t</w:t>
      </w:r>
      <w:r w:rsidR="00F00C72" w:rsidRPr="00C1044F">
        <w:t>he only known life</w:t>
      </w:r>
      <w:r w:rsidR="00A51A76">
        <w:t>-</w:t>
      </w:r>
      <w:r w:rsidR="00F00C72" w:rsidRPr="00C1044F">
        <w:t xml:space="preserve">threatening form of </w:t>
      </w:r>
      <w:r w:rsidR="00B02411">
        <w:t>EDSh</w:t>
      </w:r>
      <w:r w:rsidR="00F00C72" w:rsidRPr="00C1044F">
        <w:t xml:space="preserve">, </w:t>
      </w:r>
      <w:r w:rsidR="004C12BD" w:rsidRPr="00C1044F">
        <w:t>Vascular</w:t>
      </w:r>
      <w:r w:rsidR="00F00C72" w:rsidRPr="00C1044F">
        <w:t xml:space="preserve"> EDS, was </w:t>
      </w:r>
      <w:r w:rsidR="004C12BD" w:rsidRPr="00C1044F">
        <w:t>excluded</w:t>
      </w:r>
      <w:r w:rsidR="00F00C72" w:rsidRPr="00C1044F">
        <w:t xml:space="preserve">.  </w:t>
      </w:r>
      <w:r w:rsidRPr="00C1044F">
        <w:t xml:space="preserve">Inclusion criteria included:  a Beighton score of </w:t>
      </w:r>
      <w:r w:rsidRPr="00C1044F">
        <w:rPr>
          <w:rFonts w:cs="Times New Roman"/>
        </w:rPr>
        <w:t>≥</w:t>
      </w:r>
      <w:r w:rsidR="00FD5E90" w:rsidRPr="00C1044F">
        <w:t xml:space="preserve"> 7/9 if younger tha</w:t>
      </w:r>
      <w:r w:rsidRPr="00C1044F">
        <w:t xml:space="preserve">n 25 to 30 or Beighton score of </w:t>
      </w:r>
      <w:r w:rsidRPr="00C1044F">
        <w:rPr>
          <w:rFonts w:cs="Times New Roman"/>
        </w:rPr>
        <w:t>≥</w:t>
      </w:r>
      <w:r w:rsidRPr="00C1044F">
        <w:t xml:space="preserve"> 5/9 if older than 30, or an EDS Diagnostic score of </w:t>
      </w:r>
      <w:r w:rsidRPr="00C1044F">
        <w:rPr>
          <w:rFonts w:cs="Times New Roman"/>
        </w:rPr>
        <w:t xml:space="preserve">≥ </w:t>
      </w:r>
      <w:r w:rsidR="00C1044F">
        <w:rPr>
          <w:rFonts w:cs="Times New Roman"/>
        </w:rPr>
        <w:t>5/</w:t>
      </w:r>
      <w:r w:rsidRPr="00C1044F">
        <w:t xml:space="preserve">12 with a </w:t>
      </w:r>
      <w:r w:rsidR="00C1044F">
        <w:t xml:space="preserve">positive </w:t>
      </w:r>
      <w:r w:rsidRPr="00C1044F">
        <w:t xml:space="preserve">family history.  </w:t>
      </w:r>
      <w:r w:rsidR="00F00C72" w:rsidRPr="00C1044F">
        <w:t>All patients consented to testing and patient data were maintained according to HIPPA guidelines.</w:t>
      </w:r>
    </w:p>
    <w:p w14:paraId="1E068B24" w14:textId="47830FAC" w:rsidR="00166951" w:rsidRPr="001B30EA" w:rsidRDefault="00AD6244" w:rsidP="00CA2163">
      <w:pPr>
        <w:rPr>
          <w:b/>
        </w:rPr>
      </w:pPr>
      <w:r w:rsidRPr="001B30EA">
        <w:rPr>
          <w:b/>
        </w:rPr>
        <w:t>DIAGNOSIS</w:t>
      </w:r>
    </w:p>
    <w:p w14:paraId="7C14B3E0" w14:textId="70379E88" w:rsidR="00166951" w:rsidRDefault="00166951" w:rsidP="00166951">
      <w:r>
        <w:t>The typical patient presents with diffuse pain, especially in the shoulders, upper back, inter-scapular area, jaw</w:t>
      </w:r>
      <w:r w:rsidR="00A51A76">
        <w:t>,</w:t>
      </w:r>
      <w:r>
        <w:t xml:space="preserve"> and hips. The patients oftentimes complain of their joints being quite flexible and oftentimes </w:t>
      </w:r>
      <w:proofErr w:type="spellStart"/>
      <w:r>
        <w:t>subluxing</w:t>
      </w:r>
      <w:proofErr w:type="spellEnd"/>
      <w:r>
        <w:t>, or popping out. It is not unusual for the patients to have their knees, elbows, ankles, wrists</w:t>
      </w:r>
      <w:r w:rsidR="00A51A76">
        <w:t>,</w:t>
      </w:r>
      <w:r>
        <w:t xml:space="preserve"> and even jaw pop out, or their cervical spine </w:t>
      </w:r>
      <w:r w:rsidR="00A51A76">
        <w:t xml:space="preserve">be </w:t>
      </w:r>
      <w:r>
        <w:t xml:space="preserve">hypermobile.  Even hyper-flexibility in the lumbar spine may make the patient able to touch the ground with their </w:t>
      </w:r>
      <w:r>
        <w:lastRenderedPageBreak/>
        <w:t xml:space="preserve">palms to </w:t>
      </w:r>
      <w:r w:rsidR="00A51A76">
        <w:t xml:space="preserve">the ground and knees straight </w:t>
      </w:r>
      <w:r>
        <w:t xml:space="preserve">quite easily.  Patients typically complain of shortness of breath and palpitations.  They do not stand for long periods of time and get dizzy and may have a history of fainting or near-fainting, and oftentimes have to lie down when trying to stand for periods of time. </w:t>
      </w:r>
      <w:r w:rsidR="00A51A76">
        <w:t xml:space="preserve"> </w:t>
      </w:r>
      <w:r>
        <w:t>Oftentimes, the patients are extremely tired.  They often complain of sleep difficulties, and they cannot get going in the morning.  They complain of brain-fog or memory and cognitive difficulties.  Bright light or sound may disturb them.  These symptoms, not including the joint issues</w:t>
      </w:r>
      <w:r w:rsidR="00A51A76">
        <w:t>,</w:t>
      </w:r>
      <w:r>
        <w:t xml:space="preserve"> are all symptoms of dysautonomia, including the possible amplification of pain and Fibromyalgia-like pain also due to dysautonomia.</w:t>
      </w:r>
    </w:p>
    <w:p w14:paraId="4145835F" w14:textId="20C9AC30" w:rsidR="00166951" w:rsidRDefault="00166951" w:rsidP="00166951">
      <w:r>
        <w:t>Many patients state that they were quite athletic and were good dancers or good gymnasts during grade school and high school. They even comment that they believe they are double-jointed.  A family history of this is often important in determining whether a person has Hypermobile or Ehlers-Danlos Syndrome.  The skin is oftentimes soft and very hyper-extensible (the skin on the non-dominant forearm stretches more than 2 cm).  The skin may also be velvety and mildly hyper-extensible.  Patients may have striae on their back, thighs, breast areas</w:t>
      </w:r>
      <w:r w:rsidR="00A51A76">
        <w:t>,</w:t>
      </w:r>
      <w:r>
        <w:t xml:space="preserve"> and abdomen, and they may also have a history of recurrent hernias of the abdomen or inguinal area.  Interestingly, some patients give a history of pelvic floor abnormalities with rectal or uterine prolapse as children.  Some patients may present with arm spans greater than their height spans.  However, other entities such as Marfan</w:t>
      </w:r>
      <w:r w:rsidR="00276EAA">
        <w:t>’s</w:t>
      </w:r>
      <w:r>
        <w:t xml:space="preserve"> </w:t>
      </w:r>
      <w:r w:rsidR="00276EAA">
        <w:t>S</w:t>
      </w:r>
      <w:r>
        <w:t>yndrome should be considered first with this presentation.</w:t>
      </w:r>
    </w:p>
    <w:p w14:paraId="22CDBC0A" w14:textId="2ACFC154" w:rsidR="00166951" w:rsidRDefault="00166951" w:rsidP="00166951">
      <w:r>
        <w:t>The combination of the Beighton</w:t>
      </w:r>
      <w:r w:rsidR="00A51A76">
        <w:t xml:space="preserve"> score</w:t>
      </w:r>
      <w:r>
        <w:t xml:space="preserve"> and the </w:t>
      </w:r>
      <w:r w:rsidR="00B02411">
        <w:t>EDSh</w:t>
      </w:r>
      <w:r>
        <w:t xml:space="preserve"> Diagnostic Checklist provides a better diagnostic yield that either alone.  Still, a detailed history and physical is important to find systemic features that </w:t>
      </w:r>
      <w:r>
        <w:t xml:space="preserve">reflect the syndrome, such as 1) family history, 2) many musculoskeletal complications such as pain in several limbs that has been occurring for more than three months, 3) pain that is widespread, or 4) recurrent (spontaneous) joint dislocations or joint instability without any trauma.  In older </w:t>
      </w:r>
      <w:r w:rsidR="00B02411">
        <w:t>EDSh</w:t>
      </w:r>
      <w:r>
        <w:t xml:space="preserve"> pat</w:t>
      </w:r>
      <w:r w:rsidR="00276EAA">
        <w:t>ie</w:t>
      </w:r>
      <w:r>
        <w:t>nts, including those in their 40s, arthritis and weight-gain due to exercise intolerance often limits mobility, making the detailed history more important.</w:t>
      </w:r>
    </w:p>
    <w:p w14:paraId="49B38E05" w14:textId="3E868C38" w:rsidR="00166951" w:rsidRDefault="00166951" w:rsidP="00166951">
      <w:r>
        <w:t xml:space="preserve">Other possibilities that may mimic </w:t>
      </w:r>
      <w:r w:rsidR="00B02411">
        <w:t>EDSh</w:t>
      </w:r>
      <w:r>
        <w:t xml:space="preserve"> must also be excluded, such as Lupus, Rheumatoid Arthritis, and Scleroderma.  These other possibilities also have abnormal collagen and connective tissue as does </w:t>
      </w:r>
      <w:r w:rsidR="00B02411">
        <w:t>EDSh</w:t>
      </w:r>
      <w:r>
        <w:t xml:space="preserve"> and can give joint laxity and hypermobility, but have other features, some of which can be life-threatening.  Many rheumatologists refer patients whom they have evaluated for connective tissue disease and have excluded these other possibilities.  The referrals are then for autonomic dysfunction.  Also, the inappropriate label “Fibromyalgia” oftentimes is applied to </w:t>
      </w:r>
      <w:r w:rsidR="00B02411">
        <w:t>EDSh</w:t>
      </w:r>
    </w:p>
    <w:p w14:paraId="085C2D1D" w14:textId="7B38A0A5" w:rsidR="00BD46D8" w:rsidRDefault="00BD46D8" w:rsidP="00BD46D8">
      <w:r>
        <w:t xml:space="preserve">Unfortunately, there is no blood test, lab test, or imaging modality than confirms a diagnosis; therefore, the diagnosis completely clinical. There is no genetic testing that has been identified for </w:t>
      </w:r>
      <w:r w:rsidR="00B02411">
        <w:t>EDSh</w:t>
      </w:r>
      <w:r>
        <w:t xml:space="preserve">.  What may complicate the issue is there are some patients who present with this syndrome complex </w:t>
      </w:r>
      <w:r w:rsidRPr="005774C2">
        <w:rPr>
          <w:i/>
        </w:rPr>
        <w:t>de-novo</w:t>
      </w:r>
      <w:r>
        <w:t xml:space="preserve"> and do not have a family history despite a careful search from the physician and clinician.  These are the minority of cases, however, and the exact percentage is not known.</w:t>
      </w:r>
    </w:p>
    <w:p w14:paraId="533B5619" w14:textId="7F387034" w:rsidR="00166951" w:rsidRDefault="00166951" w:rsidP="00166951">
      <w:r w:rsidRPr="00166951">
        <w:t>It is not difficult to diagnosis hypermobile Ehlers-Danlos Syndrome (</w:t>
      </w:r>
      <w:r w:rsidR="00B02411">
        <w:t>EDSh</w:t>
      </w:r>
      <w:r w:rsidRPr="00166951">
        <w:t>)</w:t>
      </w:r>
      <w:r w:rsidR="00A77555">
        <w:t>,</w:t>
      </w:r>
      <w:r w:rsidRPr="00166951">
        <w:t xml:space="preserve"> but a very detailed history and physical examination is required.  A very thorough family history is also required, and this may even involve examining some of the family members.  Excluding other entities that present with abnormal collagen composition or other </w:t>
      </w:r>
      <w:r w:rsidRPr="00166951">
        <w:lastRenderedPageBreak/>
        <w:t>types of hereditary tissue diseases is extremely important and consultation with a skilled rheumatologist and a P&amp;S nervous system expert is often needed.  Generic testing may be useful to exclude vascular</w:t>
      </w:r>
      <w:r w:rsidR="00276EAA">
        <w:t>-</w:t>
      </w:r>
      <w:r w:rsidRPr="00166951">
        <w:t>type EDS, Marfan</w:t>
      </w:r>
      <w:r w:rsidR="00276EAA">
        <w:t>’</w:t>
      </w:r>
      <w:r w:rsidRPr="00166951">
        <w:t>s Syndrome</w:t>
      </w:r>
      <w:r w:rsidR="00276EAA">
        <w:t>,</w:t>
      </w:r>
      <w:r w:rsidRPr="00166951">
        <w:t xml:space="preserve"> and other related connective tissue diseases.</w:t>
      </w:r>
    </w:p>
    <w:p w14:paraId="2662EF80" w14:textId="2ACA3F5E" w:rsidR="00DD27AB" w:rsidRPr="001B30EA" w:rsidRDefault="001B30EA" w:rsidP="00CA2163">
      <w:pPr>
        <w:rPr>
          <w:b/>
        </w:rPr>
      </w:pPr>
      <w:r>
        <w:rPr>
          <w:b/>
        </w:rPr>
        <w:br w:type="column"/>
      </w:r>
      <w:r w:rsidR="00AD6244" w:rsidRPr="001B30EA">
        <w:rPr>
          <w:b/>
        </w:rPr>
        <w:t>RESULTS</w:t>
      </w:r>
    </w:p>
    <w:p w14:paraId="3C8AC2FD" w14:textId="1BD18896" w:rsidR="00FF7ED0" w:rsidRDefault="00FF7ED0" w:rsidP="00FF7ED0">
      <w:pPr>
        <w:pStyle w:val="Default"/>
        <w:spacing w:before="120"/>
      </w:pPr>
      <w:r>
        <w:rPr>
          <w:highlight w:val="yellow"/>
        </w:rPr>
        <w:fldChar w:fldCharType="begin"/>
      </w:r>
      <w:r>
        <w:rPr>
          <w:highlight w:val="yellow"/>
        </w:rPr>
        <w:instrText xml:space="preserve"> REF _Ref57713872 \h </w:instrText>
      </w:r>
      <w:r>
        <w:rPr>
          <w:highlight w:val="yellow"/>
        </w:rPr>
      </w:r>
      <w:r>
        <w:rPr>
          <w:highlight w:val="yellow"/>
        </w:rPr>
        <w:fldChar w:fldCharType="separate"/>
      </w:r>
      <w:r w:rsidRPr="00FF7ED0">
        <w:rPr>
          <w:color w:val="auto"/>
        </w:rPr>
        <w:t xml:space="preserve">Table </w:t>
      </w:r>
      <w:r w:rsidRPr="00FF7ED0">
        <w:rPr>
          <w:noProof/>
          <w:color w:val="auto"/>
        </w:rPr>
        <w:t>1</w:t>
      </w:r>
      <w:r>
        <w:rPr>
          <w:highlight w:val="yellow"/>
        </w:rPr>
        <w:fldChar w:fldCharType="end"/>
      </w:r>
      <w:r w:rsidR="00F00C72" w:rsidRPr="00FF7ED0">
        <w:t xml:space="preserve"> describes the </w:t>
      </w:r>
      <w:r>
        <w:t xml:space="preserve">patient demographics.  P&amp;S balance </w:t>
      </w:r>
      <w:r w:rsidR="00C812CF">
        <w:t xml:space="preserve">(at rest) </w:t>
      </w:r>
      <w:r>
        <w:t>for the cohort is well within normal limits (SB:  0.4 &lt; SB &lt; 3.0</w:t>
      </w:r>
      <w:r w:rsidR="00FC383A">
        <w:t>,</w:t>
      </w:r>
      <w:r>
        <w:t xml:space="preserve"> unitless)</w:t>
      </w:r>
      <w:r w:rsidR="00C812CF">
        <w:t xml:space="preserve">.  The </w:t>
      </w:r>
      <w:r>
        <w:t>preferred SB for younger, &lt; 65 y/o, healthier subjects is 1.0 &lt; SB &lt; 3.0</w:t>
      </w:r>
      <w:r w:rsidR="00C812CF">
        <w:t xml:space="preserve">.  </w:t>
      </w:r>
    </w:p>
    <w:p w14:paraId="5897910F" w14:textId="77777777" w:rsidR="001B30EA" w:rsidRDefault="001B30EA" w:rsidP="00FF7ED0">
      <w:pPr>
        <w:pStyle w:val="Default"/>
        <w:spacing w:before="120"/>
        <w:sectPr w:rsidR="001B30EA" w:rsidSect="001B30EA">
          <w:footnotePr>
            <w:numFmt w:val="chicago"/>
          </w:footnotePr>
          <w:endnotePr>
            <w:numFmt w:val="decimal"/>
          </w:endnotePr>
          <w:type w:val="continuous"/>
          <w:pgSz w:w="12240" w:h="15840"/>
          <w:pgMar w:top="1440" w:right="1440" w:bottom="1440" w:left="1440" w:header="720" w:footer="720" w:gutter="0"/>
          <w:cols w:num="2" w:space="720"/>
          <w:docGrid w:linePitch="360"/>
        </w:sectPr>
      </w:pPr>
    </w:p>
    <w:p w14:paraId="5D0309B0" w14:textId="77777777" w:rsidR="001B30EA" w:rsidRDefault="001B30EA" w:rsidP="00FF7ED0">
      <w:pPr>
        <w:pStyle w:val="Default"/>
        <w:spacing w:before="120"/>
      </w:pPr>
    </w:p>
    <w:p w14:paraId="20523999" w14:textId="77777777" w:rsidR="001B30EA" w:rsidRDefault="001B30EA" w:rsidP="00FF7ED0">
      <w:pPr>
        <w:pStyle w:val="Default"/>
        <w:spacing w:before="120"/>
        <w:rPr>
          <w:color w:val="auto"/>
        </w:rPr>
        <w:sectPr w:rsidR="001B30EA" w:rsidSect="001B30EA">
          <w:footnotePr>
            <w:numFmt w:val="chicago"/>
          </w:footnotePr>
          <w:endnotePr>
            <w:numFmt w:val="decimal"/>
          </w:endnotePr>
          <w:type w:val="continuous"/>
          <w:pgSz w:w="12240" w:h="15840"/>
          <w:pgMar w:top="1440" w:right="1440" w:bottom="1440" w:left="1440" w:header="720" w:footer="720" w:gutter="0"/>
          <w:cols w:space="720"/>
          <w:docGrid w:linePitch="360"/>
        </w:sectPr>
      </w:pPr>
    </w:p>
    <w:p w14:paraId="3267344F" w14:textId="159E071B" w:rsidR="00FF7ED0" w:rsidRPr="00FF7ED0" w:rsidRDefault="00FF7ED0" w:rsidP="00FF7ED0">
      <w:pPr>
        <w:pStyle w:val="Caption"/>
        <w:spacing w:before="120" w:after="0"/>
        <w:rPr>
          <w:b w:val="0"/>
          <w:color w:val="auto"/>
          <w:sz w:val="24"/>
        </w:rPr>
      </w:pPr>
      <w:bookmarkStart w:id="5" w:name="_Ref57713872"/>
      <w:r w:rsidRPr="00FF7ED0">
        <w:rPr>
          <w:color w:val="auto"/>
          <w:sz w:val="24"/>
        </w:rPr>
        <w:t xml:space="preserve">Table </w:t>
      </w:r>
      <w:r w:rsidRPr="00FF7ED0">
        <w:rPr>
          <w:color w:val="auto"/>
          <w:sz w:val="24"/>
        </w:rPr>
        <w:fldChar w:fldCharType="begin"/>
      </w:r>
      <w:r w:rsidRPr="00FF7ED0">
        <w:rPr>
          <w:color w:val="auto"/>
          <w:sz w:val="24"/>
        </w:rPr>
        <w:instrText xml:space="preserve"> SEQ Table \* ARABIC </w:instrText>
      </w:r>
      <w:r w:rsidRPr="00FF7ED0">
        <w:rPr>
          <w:color w:val="auto"/>
          <w:sz w:val="24"/>
        </w:rPr>
        <w:fldChar w:fldCharType="separate"/>
      </w:r>
      <w:r w:rsidR="00C812CF">
        <w:rPr>
          <w:noProof/>
          <w:color w:val="auto"/>
          <w:sz w:val="24"/>
        </w:rPr>
        <w:t>1</w:t>
      </w:r>
      <w:r w:rsidRPr="00FF7ED0">
        <w:rPr>
          <w:color w:val="auto"/>
          <w:sz w:val="24"/>
        </w:rPr>
        <w:fldChar w:fldCharType="end"/>
      </w:r>
      <w:bookmarkEnd w:id="5"/>
      <w:r w:rsidRPr="00FF7ED0">
        <w:rPr>
          <w:b w:val="0"/>
          <w:color w:val="auto"/>
          <w:sz w:val="24"/>
        </w:rPr>
        <w:t xml:space="preserve">:  </w:t>
      </w:r>
      <w:r w:rsidR="00B02411">
        <w:rPr>
          <w:b w:val="0"/>
          <w:color w:val="auto"/>
          <w:sz w:val="24"/>
        </w:rPr>
        <w:t>EDSH</w:t>
      </w:r>
      <w:r w:rsidRPr="00FF7ED0">
        <w:rPr>
          <w:b w:val="0"/>
          <w:color w:val="auto"/>
          <w:sz w:val="24"/>
        </w:rPr>
        <w:t xml:space="preserve"> patient demographics</w:t>
      </w:r>
      <w:r w:rsidR="00B034AB">
        <w:rPr>
          <w:b w:val="0"/>
          <w:color w:val="auto"/>
          <w:sz w:val="24"/>
        </w:rPr>
        <w:t xml:space="preserve"> and </w:t>
      </w:r>
      <w:r w:rsidR="00B034AB" w:rsidRPr="00FF7ED0">
        <w:rPr>
          <w:b w:val="0"/>
          <w:color w:val="auto"/>
          <w:sz w:val="24"/>
        </w:rPr>
        <w:t>average</w:t>
      </w:r>
      <w:r w:rsidR="00B034AB">
        <w:rPr>
          <w:b w:val="0"/>
          <w:color w:val="auto"/>
          <w:sz w:val="24"/>
        </w:rPr>
        <w:t>,</w:t>
      </w:r>
      <w:r w:rsidR="00B034AB" w:rsidRPr="00FF7ED0">
        <w:rPr>
          <w:b w:val="0"/>
          <w:color w:val="auto"/>
          <w:sz w:val="24"/>
        </w:rPr>
        <w:t xml:space="preserve"> </w:t>
      </w:r>
      <w:r w:rsidR="00B034AB">
        <w:rPr>
          <w:b w:val="0"/>
          <w:color w:val="auto"/>
          <w:sz w:val="24"/>
        </w:rPr>
        <w:t>resting data</w:t>
      </w:r>
      <w:r w:rsidRPr="00FF7ED0">
        <w:rPr>
          <w:b w:val="0"/>
          <w:color w:val="auto"/>
          <w:sz w:val="24"/>
        </w:rPr>
        <w:t>,</w:t>
      </w:r>
      <w:r w:rsidR="00B034AB">
        <w:rPr>
          <w:b w:val="0"/>
          <w:color w:val="auto"/>
          <w:sz w:val="24"/>
        </w:rPr>
        <w:t xml:space="preserve"> including: </w:t>
      </w:r>
      <w:r w:rsidRPr="00FF7ED0">
        <w:rPr>
          <w:b w:val="0"/>
          <w:color w:val="auto"/>
          <w:sz w:val="24"/>
        </w:rPr>
        <w:t xml:space="preserve"> Heart Rates (HR) and Blood Pressures (BP), </w:t>
      </w:r>
      <w:r w:rsidR="00B034AB">
        <w:rPr>
          <w:b w:val="0"/>
          <w:color w:val="auto"/>
          <w:sz w:val="24"/>
        </w:rPr>
        <w:t xml:space="preserve">and </w:t>
      </w:r>
      <w:r w:rsidRPr="00FF7ED0">
        <w:rPr>
          <w:b w:val="0"/>
          <w:color w:val="auto"/>
          <w:sz w:val="24"/>
        </w:rPr>
        <w:t>P&amp;S</w:t>
      </w:r>
      <w:r w:rsidR="00B034AB">
        <w:rPr>
          <w:b w:val="0"/>
          <w:color w:val="auto"/>
          <w:sz w:val="24"/>
        </w:rPr>
        <w:t xml:space="preserve"> </w:t>
      </w:r>
      <w:r w:rsidRPr="00FF7ED0">
        <w:rPr>
          <w:b w:val="0"/>
          <w:color w:val="auto"/>
          <w:sz w:val="24"/>
        </w:rPr>
        <w:t xml:space="preserve">and HRV data. </w:t>
      </w:r>
    </w:p>
    <w:tbl>
      <w:tblPr>
        <w:tblStyle w:val="TableGrid"/>
        <w:tblW w:w="11001" w:type="dxa"/>
        <w:tblInd w:w="-792" w:type="dxa"/>
        <w:tblLayout w:type="fixed"/>
        <w:tblLook w:val="04A0" w:firstRow="1" w:lastRow="0" w:firstColumn="1" w:lastColumn="0" w:noHBand="0" w:noVBand="1"/>
      </w:tblPr>
      <w:tblGrid>
        <w:gridCol w:w="1026"/>
        <w:gridCol w:w="594"/>
        <w:gridCol w:w="972"/>
        <w:gridCol w:w="843"/>
        <w:gridCol w:w="851"/>
        <w:gridCol w:w="1260"/>
        <w:gridCol w:w="990"/>
        <w:gridCol w:w="923"/>
        <w:gridCol w:w="517"/>
        <w:gridCol w:w="1045"/>
        <w:gridCol w:w="990"/>
        <w:gridCol w:w="990"/>
      </w:tblGrid>
      <w:tr w:rsidR="00FF7ED0" w:rsidRPr="004F284D" w14:paraId="6DF947B2" w14:textId="77777777" w:rsidTr="00DA1C11">
        <w:tc>
          <w:tcPr>
            <w:tcW w:w="1026" w:type="dxa"/>
            <w:vAlign w:val="center"/>
          </w:tcPr>
          <w:p w14:paraId="3C4E90B8" w14:textId="77777777" w:rsidR="00FF7ED0" w:rsidRPr="004F284D" w:rsidRDefault="00FF7ED0" w:rsidP="00B034AB">
            <w:pPr>
              <w:jc w:val="center"/>
              <w:rPr>
                <w:b/>
              </w:rPr>
            </w:pPr>
            <w:r w:rsidRPr="004F284D">
              <w:rPr>
                <w:b/>
              </w:rPr>
              <w:t xml:space="preserve">Age </w:t>
            </w:r>
            <w:r w:rsidRPr="004F284D">
              <w:rPr>
                <w:b/>
              </w:rPr>
              <w:br/>
              <w:t>(</w:t>
            </w:r>
            <w:proofErr w:type="spellStart"/>
            <w:r w:rsidRPr="004F284D">
              <w:rPr>
                <w:b/>
              </w:rPr>
              <w:t>yrs</w:t>
            </w:r>
            <w:proofErr w:type="spellEnd"/>
            <w:r w:rsidRPr="004F284D">
              <w:rPr>
                <w:b/>
              </w:rPr>
              <w:t>)</w:t>
            </w:r>
          </w:p>
        </w:tc>
        <w:tc>
          <w:tcPr>
            <w:tcW w:w="594" w:type="dxa"/>
            <w:vAlign w:val="center"/>
          </w:tcPr>
          <w:p w14:paraId="2D12AA67" w14:textId="77777777" w:rsidR="00FF7ED0" w:rsidRPr="004F284D" w:rsidRDefault="00FF7ED0" w:rsidP="00B034AB">
            <w:pPr>
              <w:jc w:val="center"/>
              <w:rPr>
                <w:b/>
              </w:rPr>
            </w:pPr>
            <w:r>
              <w:rPr>
                <w:b/>
              </w:rPr>
              <w:t>N</w:t>
            </w:r>
            <w:r>
              <w:rPr>
                <w:b/>
              </w:rPr>
              <w:br/>
              <w:t>(#)</w:t>
            </w:r>
          </w:p>
        </w:tc>
        <w:tc>
          <w:tcPr>
            <w:tcW w:w="972" w:type="dxa"/>
            <w:vAlign w:val="center"/>
          </w:tcPr>
          <w:p w14:paraId="401FF6CD" w14:textId="77777777" w:rsidR="00FF7ED0" w:rsidRPr="004F284D" w:rsidRDefault="00FF7ED0" w:rsidP="00B034AB">
            <w:pPr>
              <w:jc w:val="center"/>
              <w:rPr>
                <w:b/>
              </w:rPr>
            </w:pPr>
            <w:r w:rsidRPr="004F284D">
              <w:rPr>
                <w:b/>
              </w:rPr>
              <w:t>Female (%)</w:t>
            </w:r>
          </w:p>
        </w:tc>
        <w:tc>
          <w:tcPr>
            <w:tcW w:w="843" w:type="dxa"/>
            <w:vAlign w:val="center"/>
          </w:tcPr>
          <w:p w14:paraId="254BF7F5" w14:textId="77777777" w:rsidR="00FF7ED0" w:rsidRPr="004F284D" w:rsidRDefault="00FF7ED0" w:rsidP="00B034AB">
            <w:pPr>
              <w:jc w:val="center"/>
              <w:rPr>
                <w:b/>
              </w:rPr>
            </w:pPr>
            <w:r w:rsidRPr="004F284D">
              <w:rPr>
                <w:b/>
              </w:rPr>
              <w:t>BMI</w:t>
            </w:r>
            <w:r w:rsidRPr="004F284D">
              <w:rPr>
                <w:b/>
              </w:rPr>
              <w:br/>
              <w:t>(#/in</w:t>
            </w:r>
            <w:r w:rsidRPr="004F284D">
              <w:rPr>
                <w:b/>
                <w:vertAlign w:val="superscript"/>
              </w:rPr>
              <w:t>2</w:t>
            </w:r>
            <w:r w:rsidRPr="004F284D">
              <w:rPr>
                <w:b/>
              </w:rPr>
              <w:t>)</w:t>
            </w:r>
          </w:p>
        </w:tc>
        <w:tc>
          <w:tcPr>
            <w:tcW w:w="851" w:type="dxa"/>
            <w:vAlign w:val="center"/>
          </w:tcPr>
          <w:p w14:paraId="6E74318A" w14:textId="77777777" w:rsidR="00FF7ED0" w:rsidRDefault="00FF7ED0" w:rsidP="00B034AB">
            <w:pPr>
              <w:jc w:val="center"/>
              <w:rPr>
                <w:b/>
              </w:rPr>
            </w:pPr>
            <w:r>
              <w:rPr>
                <w:b/>
              </w:rPr>
              <w:t>HR</w:t>
            </w:r>
            <w:r>
              <w:rPr>
                <w:b/>
              </w:rPr>
              <w:br/>
              <w:t>(bmp)</w:t>
            </w:r>
          </w:p>
        </w:tc>
        <w:tc>
          <w:tcPr>
            <w:tcW w:w="1260" w:type="dxa"/>
            <w:vAlign w:val="center"/>
          </w:tcPr>
          <w:p w14:paraId="7A9D7C88" w14:textId="77777777" w:rsidR="00FF7ED0" w:rsidRDefault="00FF7ED0" w:rsidP="00B034AB">
            <w:pPr>
              <w:jc w:val="center"/>
              <w:rPr>
                <w:b/>
              </w:rPr>
            </w:pPr>
            <w:r>
              <w:rPr>
                <w:b/>
              </w:rPr>
              <w:t>BP</w:t>
            </w:r>
            <w:r>
              <w:rPr>
                <w:b/>
              </w:rPr>
              <w:br/>
              <w:t>(mmHg)</w:t>
            </w:r>
          </w:p>
        </w:tc>
        <w:tc>
          <w:tcPr>
            <w:tcW w:w="990" w:type="dxa"/>
            <w:vAlign w:val="center"/>
          </w:tcPr>
          <w:p w14:paraId="06BF61EC" w14:textId="77777777" w:rsidR="00FF7ED0" w:rsidRPr="004F284D" w:rsidRDefault="00FF7ED0" w:rsidP="00B034AB">
            <w:pPr>
              <w:jc w:val="center"/>
              <w:rPr>
                <w:b/>
              </w:rPr>
            </w:pPr>
            <w:r>
              <w:rPr>
                <w:b/>
              </w:rPr>
              <w:t>P</w:t>
            </w:r>
            <w:r>
              <w:rPr>
                <w:b/>
              </w:rPr>
              <w:br/>
              <w:t>(bpm</w:t>
            </w:r>
            <w:r w:rsidRPr="00CE00E5">
              <w:rPr>
                <w:b/>
                <w:vertAlign w:val="superscript"/>
              </w:rPr>
              <w:t>2</w:t>
            </w:r>
            <w:r>
              <w:rPr>
                <w:b/>
              </w:rPr>
              <w:t>)</w:t>
            </w:r>
          </w:p>
        </w:tc>
        <w:tc>
          <w:tcPr>
            <w:tcW w:w="923" w:type="dxa"/>
            <w:vAlign w:val="center"/>
          </w:tcPr>
          <w:p w14:paraId="771C5F97" w14:textId="77777777" w:rsidR="00FF7ED0" w:rsidRPr="004F284D" w:rsidRDefault="00FF7ED0" w:rsidP="00B034AB">
            <w:pPr>
              <w:jc w:val="center"/>
              <w:rPr>
                <w:b/>
              </w:rPr>
            </w:pPr>
            <w:r>
              <w:rPr>
                <w:b/>
              </w:rPr>
              <w:t>S</w:t>
            </w:r>
            <w:r>
              <w:rPr>
                <w:b/>
              </w:rPr>
              <w:br/>
              <w:t>(bpm</w:t>
            </w:r>
            <w:r w:rsidRPr="00CE00E5">
              <w:rPr>
                <w:b/>
                <w:vertAlign w:val="superscript"/>
              </w:rPr>
              <w:t>2</w:t>
            </w:r>
            <w:r>
              <w:rPr>
                <w:b/>
              </w:rPr>
              <w:t>)</w:t>
            </w:r>
          </w:p>
        </w:tc>
        <w:tc>
          <w:tcPr>
            <w:tcW w:w="517" w:type="dxa"/>
            <w:vAlign w:val="center"/>
          </w:tcPr>
          <w:p w14:paraId="168C214A" w14:textId="77777777" w:rsidR="00FF7ED0" w:rsidRPr="004F284D" w:rsidRDefault="00FF7ED0" w:rsidP="00B034AB">
            <w:pPr>
              <w:jc w:val="center"/>
              <w:rPr>
                <w:b/>
              </w:rPr>
            </w:pPr>
            <w:r>
              <w:rPr>
                <w:b/>
              </w:rPr>
              <w:t>SB</w:t>
            </w:r>
          </w:p>
        </w:tc>
        <w:tc>
          <w:tcPr>
            <w:tcW w:w="1045" w:type="dxa"/>
            <w:vAlign w:val="center"/>
          </w:tcPr>
          <w:p w14:paraId="18E5CA0F" w14:textId="77777777" w:rsidR="00FF7ED0" w:rsidRPr="004F284D" w:rsidRDefault="00B034AB" w:rsidP="00B034AB">
            <w:pPr>
              <w:jc w:val="center"/>
              <w:rPr>
                <w:b/>
              </w:rPr>
            </w:pPr>
            <w:proofErr w:type="spellStart"/>
            <w:r>
              <w:rPr>
                <w:b/>
              </w:rPr>
              <w:t>LFnu</w:t>
            </w:r>
            <w:proofErr w:type="spellEnd"/>
            <w:r>
              <w:rPr>
                <w:b/>
              </w:rPr>
              <w:br/>
              <w:t>(msec</w:t>
            </w:r>
            <w:r w:rsidRPr="00B034AB">
              <w:rPr>
                <w:b/>
                <w:vertAlign w:val="superscript"/>
              </w:rPr>
              <w:t>2</w:t>
            </w:r>
            <w:r>
              <w:rPr>
                <w:b/>
              </w:rPr>
              <w:t>)</w:t>
            </w:r>
          </w:p>
        </w:tc>
        <w:tc>
          <w:tcPr>
            <w:tcW w:w="990" w:type="dxa"/>
            <w:vAlign w:val="center"/>
          </w:tcPr>
          <w:p w14:paraId="42856170" w14:textId="77777777" w:rsidR="00FF7ED0" w:rsidRPr="004F284D" w:rsidRDefault="00B034AB" w:rsidP="00B034AB">
            <w:pPr>
              <w:jc w:val="center"/>
              <w:rPr>
                <w:b/>
              </w:rPr>
            </w:pPr>
            <w:proofErr w:type="spellStart"/>
            <w:r>
              <w:rPr>
                <w:b/>
              </w:rPr>
              <w:t>HFnu</w:t>
            </w:r>
            <w:proofErr w:type="spellEnd"/>
            <w:r>
              <w:rPr>
                <w:b/>
              </w:rPr>
              <w:br/>
              <w:t>(msec</w:t>
            </w:r>
            <w:r w:rsidRPr="00B034AB">
              <w:rPr>
                <w:b/>
                <w:vertAlign w:val="superscript"/>
              </w:rPr>
              <w:t>2</w:t>
            </w:r>
            <w:r>
              <w:rPr>
                <w:b/>
              </w:rPr>
              <w:t>)</w:t>
            </w:r>
          </w:p>
        </w:tc>
        <w:tc>
          <w:tcPr>
            <w:tcW w:w="990" w:type="dxa"/>
            <w:vAlign w:val="center"/>
          </w:tcPr>
          <w:p w14:paraId="11F7E42D" w14:textId="77777777" w:rsidR="00FF7ED0" w:rsidRPr="004F284D" w:rsidRDefault="00B034AB" w:rsidP="00B034AB">
            <w:pPr>
              <w:jc w:val="center"/>
              <w:rPr>
                <w:b/>
              </w:rPr>
            </w:pPr>
            <w:r>
              <w:rPr>
                <w:b/>
              </w:rPr>
              <w:t>LF/HF</w:t>
            </w:r>
          </w:p>
        </w:tc>
      </w:tr>
      <w:tr w:rsidR="00B034AB" w14:paraId="22C55DDF" w14:textId="77777777" w:rsidTr="00DA1C11">
        <w:tc>
          <w:tcPr>
            <w:tcW w:w="1026" w:type="dxa"/>
          </w:tcPr>
          <w:p w14:paraId="0F405E18" w14:textId="77777777" w:rsidR="00B034AB" w:rsidRDefault="00B034AB" w:rsidP="00E36967">
            <w:pPr>
              <w:jc w:val="center"/>
            </w:pPr>
            <w:r>
              <w:t>&lt; 20</w:t>
            </w:r>
          </w:p>
        </w:tc>
        <w:tc>
          <w:tcPr>
            <w:tcW w:w="594" w:type="dxa"/>
          </w:tcPr>
          <w:p w14:paraId="33667DE2" w14:textId="77777777" w:rsidR="00B034AB" w:rsidRDefault="00B034AB" w:rsidP="00E36967">
            <w:pPr>
              <w:jc w:val="center"/>
            </w:pPr>
            <w:r>
              <w:t>32</w:t>
            </w:r>
          </w:p>
        </w:tc>
        <w:tc>
          <w:tcPr>
            <w:tcW w:w="972" w:type="dxa"/>
          </w:tcPr>
          <w:p w14:paraId="7DF825A8" w14:textId="77777777" w:rsidR="00B034AB" w:rsidRDefault="00B034AB" w:rsidP="00E36967">
            <w:pPr>
              <w:jc w:val="center"/>
            </w:pPr>
            <w:r>
              <w:t>93.8</w:t>
            </w:r>
          </w:p>
        </w:tc>
        <w:tc>
          <w:tcPr>
            <w:tcW w:w="843" w:type="dxa"/>
          </w:tcPr>
          <w:p w14:paraId="33C9A713" w14:textId="77777777" w:rsidR="00B034AB" w:rsidRDefault="00B034AB" w:rsidP="00E36967">
            <w:pPr>
              <w:jc w:val="center"/>
            </w:pPr>
            <w:r>
              <w:t>24.8</w:t>
            </w:r>
          </w:p>
        </w:tc>
        <w:tc>
          <w:tcPr>
            <w:tcW w:w="851" w:type="dxa"/>
          </w:tcPr>
          <w:p w14:paraId="5A1B6648" w14:textId="77777777" w:rsidR="00B034AB" w:rsidRDefault="00B034AB" w:rsidP="00E36967">
            <w:pPr>
              <w:jc w:val="center"/>
            </w:pPr>
            <w:r>
              <w:t>88.2</w:t>
            </w:r>
          </w:p>
        </w:tc>
        <w:tc>
          <w:tcPr>
            <w:tcW w:w="1260" w:type="dxa"/>
          </w:tcPr>
          <w:p w14:paraId="682FC4F3" w14:textId="77777777" w:rsidR="00B034AB" w:rsidRDefault="00B034AB" w:rsidP="00E36967">
            <w:pPr>
              <w:jc w:val="center"/>
            </w:pPr>
            <w:r>
              <w:t>115.5/70.7</w:t>
            </w:r>
          </w:p>
        </w:tc>
        <w:tc>
          <w:tcPr>
            <w:tcW w:w="990" w:type="dxa"/>
          </w:tcPr>
          <w:p w14:paraId="0BA39498" w14:textId="77777777" w:rsidR="00B034AB" w:rsidRDefault="00B034AB" w:rsidP="00E36967">
            <w:pPr>
              <w:jc w:val="center"/>
            </w:pPr>
            <w:r>
              <w:t>6.5</w:t>
            </w:r>
          </w:p>
        </w:tc>
        <w:tc>
          <w:tcPr>
            <w:tcW w:w="923" w:type="dxa"/>
          </w:tcPr>
          <w:p w14:paraId="1D88376E" w14:textId="77777777" w:rsidR="00B034AB" w:rsidRDefault="00B034AB" w:rsidP="00E36967">
            <w:pPr>
              <w:jc w:val="center"/>
            </w:pPr>
            <w:r>
              <w:t>7.7</w:t>
            </w:r>
          </w:p>
        </w:tc>
        <w:tc>
          <w:tcPr>
            <w:tcW w:w="517" w:type="dxa"/>
          </w:tcPr>
          <w:p w14:paraId="0DC330E2" w14:textId="77777777" w:rsidR="00B034AB" w:rsidRDefault="00B034AB" w:rsidP="00E36967">
            <w:pPr>
              <w:jc w:val="center"/>
            </w:pPr>
            <w:r>
              <w:t>2.3</w:t>
            </w:r>
          </w:p>
        </w:tc>
        <w:tc>
          <w:tcPr>
            <w:tcW w:w="1045" w:type="dxa"/>
            <w:vAlign w:val="bottom"/>
          </w:tcPr>
          <w:p w14:paraId="1437113E" w14:textId="77777777" w:rsidR="00B034AB" w:rsidRPr="00B034AB" w:rsidRDefault="00B034AB">
            <w:pPr>
              <w:jc w:val="center"/>
              <w:rPr>
                <w:rFonts w:cs="Times New Roman"/>
                <w:color w:val="000000"/>
                <w:szCs w:val="24"/>
              </w:rPr>
            </w:pPr>
            <w:r w:rsidRPr="00B034AB">
              <w:rPr>
                <w:rFonts w:cs="Times New Roman"/>
                <w:color w:val="000000"/>
                <w:szCs w:val="24"/>
              </w:rPr>
              <w:t>64.4</w:t>
            </w:r>
          </w:p>
        </w:tc>
        <w:tc>
          <w:tcPr>
            <w:tcW w:w="990" w:type="dxa"/>
            <w:vAlign w:val="bottom"/>
          </w:tcPr>
          <w:p w14:paraId="1F9D2169" w14:textId="77777777" w:rsidR="00B034AB" w:rsidRPr="00B034AB" w:rsidRDefault="00B034AB">
            <w:pPr>
              <w:jc w:val="center"/>
              <w:rPr>
                <w:rFonts w:cs="Times New Roman"/>
                <w:color w:val="000000"/>
                <w:szCs w:val="24"/>
              </w:rPr>
            </w:pPr>
            <w:r w:rsidRPr="00B034AB">
              <w:rPr>
                <w:rFonts w:cs="Times New Roman"/>
                <w:color w:val="000000"/>
                <w:szCs w:val="24"/>
              </w:rPr>
              <w:t>35.6</w:t>
            </w:r>
          </w:p>
        </w:tc>
        <w:tc>
          <w:tcPr>
            <w:tcW w:w="990" w:type="dxa"/>
            <w:vAlign w:val="bottom"/>
          </w:tcPr>
          <w:p w14:paraId="6A178139" w14:textId="77777777" w:rsidR="00B034AB" w:rsidRPr="00B034AB" w:rsidRDefault="00B034AB">
            <w:pPr>
              <w:jc w:val="center"/>
              <w:rPr>
                <w:rFonts w:cs="Times New Roman"/>
                <w:color w:val="000000"/>
              </w:rPr>
            </w:pPr>
            <w:r w:rsidRPr="00B034AB">
              <w:rPr>
                <w:rFonts w:cs="Times New Roman"/>
                <w:color w:val="000000"/>
              </w:rPr>
              <w:t>2.7</w:t>
            </w:r>
          </w:p>
        </w:tc>
      </w:tr>
      <w:tr w:rsidR="00B034AB" w14:paraId="65834171" w14:textId="77777777" w:rsidTr="00DA1C11">
        <w:tc>
          <w:tcPr>
            <w:tcW w:w="1026" w:type="dxa"/>
          </w:tcPr>
          <w:p w14:paraId="08AEF8A6" w14:textId="77777777" w:rsidR="00B034AB" w:rsidRDefault="00B034AB" w:rsidP="00E36967">
            <w:pPr>
              <w:jc w:val="center"/>
            </w:pPr>
            <w:r>
              <w:t>20 – 29</w:t>
            </w:r>
          </w:p>
        </w:tc>
        <w:tc>
          <w:tcPr>
            <w:tcW w:w="594" w:type="dxa"/>
          </w:tcPr>
          <w:p w14:paraId="3B85BA78" w14:textId="77777777" w:rsidR="00B034AB" w:rsidRDefault="00B034AB" w:rsidP="00E36967">
            <w:pPr>
              <w:jc w:val="center"/>
            </w:pPr>
            <w:r>
              <w:t>86</w:t>
            </w:r>
          </w:p>
        </w:tc>
        <w:tc>
          <w:tcPr>
            <w:tcW w:w="972" w:type="dxa"/>
          </w:tcPr>
          <w:p w14:paraId="144F4FFC" w14:textId="77777777" w:rsidR="00B034AB" w:rsidRDefault="00B034AB" w:rsidP="00E36967">
            <w:pPr>
              <w:jc w:val="center"/>
            </w:pPr>
            <w:r>
              <w:t>95.3</w:t>
            </w:r>
          </w:p>
        </w:tc>
        <w:tc>
          <w:tcPr>
            <w:tcW w:w="843" w:type="dxa"/>
          </w:tcPr>
          <w:p w14:paraId="41BC277A" w14:textId="77777777" w:rsidR="00B034AB" w:rsidRDefault="00B034AB" w:rsidP="00E36967">
            <w:pPr>
              <w:jc w:val="center"/>
            </w:pPr>
            <w:r>
              <w:t>25.3</w:t>
            </w:r>
          </w:p>
        </w:tc>
        <w:tc>
          <w:tcPr>
            <w:tcW w:w="851" w:type="dxa"/>
          </w:tcPr>
          <w:p w14:paraId="6A433E3F" w14:textId="77777777" w:rsidR="00B034AB" w:rsidRDefault="00B034AB" w:rsidP="00E36967">
            <w:pPr>
              <w:jc w:val="center"/>
            </w:pPr>
            <w:r>
              <w:t>86.2</w:t>
            </w:r>
          </w:p>
        </w:tc>
        <w:tc>
          <w:tcPr>
            <w:tcW w:w="1260" w:type="dxa"/>
          </w:tcPr>
          <w:p w14:paraId="30B7E94E" w14:textId="77777777" w:rsidR="00B034AB" w:rsidRDefault="00B034AB" w:rsidP="00E36967">
            <w:pPr>
              <w:jc w:val="center"/>
            </w:pPr>
            <w:r>
              <w:t>121.2/76.5</w:t>
            </w:r>
          </w:p>
        </w:tc>
        <w:tc>
          <w:tcPr>
            <w:tcW w:w="990" w:type="dxa"/>
          </w:tcPr>
          <w:p w14:paraId="1A7E16D3" w14:textId="77777777" w:rsidR="00B034AB" w:rsidRDefault="00B034AB" w:rsidP="00E36967">
            <w:pPr>
              <w:jc w:val="center"/>
            </w:pPr>
            <w:r>
              <w:t>6.8</w:t>
            </w:r>
          </w:p>
        </w:tc>
        <w:tc>
          <w:tcPr>
            <w:tcW w:w="923" w:type="dxa"/>
          </w:tcPr>
          <w:p w14:paraId="723E6D0C" w14:textId="77777777" w:rsidR="00B034AB" w:rsidRDefault="00B034AB" w:rsidP="00E36967">
            <w:pPr>
              <w:jc w:val="center"/>
            </w:pPr>
            <w:r>
              <w:t>6.9</w:t>
            </w:r>
          </w:p>
        </w:tc>
        <w:tc>
          <w:tcPr>
            <w:tcW w:w="517" w:type="dxa"/>
          </w:tcPr>
          <w:p w14:paraId="5FEA61BD" w14:textId="77777777" w:rsidR="00B034AB" w:rsidRDefault="00B034AB" w:rsidP="00E36967">
            <w:pPr>
              <w:jc w:val="center"/>
            </w:pPr>
            <w:r>
              <w:t>1.9</w:t>
            </w:r>
          </w:p>
        </w:tc>
        <w:tc>
          <w:tcPr>
            <w:tcW w:w="1045" w:type="dxa"/>
            <w:vAlign w:val="bottom"/>
          </w:tcPr>
          <w:p w14:paraId="3DB47D95" w14:textId="77777777" w:rsidR="00B034AB" w:rsidRPr="00B034AB" w:rsidRDefault="00B034AB">
            <w:pPr>
              <w:jc w:val="center"/>
              <w:rPr>
                <w:rFonts w:cs="Times New Roman"/>
                <w:color w:val="000000"/>
                <w:szCs w:val="24"/>
              </w:rPr>
            </w:pPr>
            <w:r w:rsidRPr="00B034AB">
              <w:rPr>
                <w:rFonts w:cs="Times New Roman"/>
                <w:color w:val="000000"/>
                <w:szCs w:val="24"/>
              </w:rPr>
              <w:t>63.1</w:t>
            </w:r>
          </w:p>
        </w:tc>
        <w:tc>
          <w:tcPr>
            <w:tcW w:w="990" w:type="dxa"/>
            <w:vAlign w:val="bottom"/>
          </w:tcPr>
          <w:p w14:paraId="50428283" w14:textId="77777777" w:rsidR="00B034AB" w:rsidRPr="00B034AB" w:rsidRDefault="00B034AB">
            <w:pPr>
              <w:jc w:val="center"/>
              <w:rPr>
                <w:rFonts w:cs="Times New Roman"/>
                <w:color w:val="000000"/>
                <w:szCs w:val="24"/>
              </w:rPr>
            </w:pPr>
            <w:r w:rsidRPr="00B034AB">
              <w:rPr>
                <w:rFonts w:cs="Times New Roman"/>
                <w:color w:val="000000"/>
                <w:szCs w:val="24"/>
              </w:rPr>
              <w:t>36.9</w:t>
            </w:r>
          </w:p>
        </w:tc>
        <w:tc>
          <w:tcPr>
            <w:tcW w:w="990" w:type="dxa"/>
            <w:vAlign w:val="bottom"/>
          </w:tcPr>
          <w:p w14:paraId="2295BD13" w14:textId="77777777" w:rsidR="00B034AB" w:rsidRPr="00B034AB" w:rsidRDefault="00B034AB">
            <w:pPr>
              <w:jc w:val="center"/>
              <w:rPr>
                <w:rFonts w:cs="Times New Roman"/>
                <w:color w:val="000000"/>
              </w:rPr>
            </w:pPr>
            <w:r w:rsidRPr="00B034AB">
              <w:rPr>
                <w:rFonts w:cs="Times New Roman"/>
                <w:color w:val="000000"/>
              </w:rPr>
              <w:t>2.5</w:t>
            </w:r>
          </w:p>
        </w:tc>
      </w:tr>
      <w:tr w:rsidR="00B034AB" w14:paraId="0EE06F4C" w14:textId="77777777" w:rsidTr="00DA1C11">
        <w:tc>
          <w:tcPr>
            <w:tcW w:w="1026" w:type="dxa"/>
          </w:tcPr>
          <w:p w14:paraId="77726716" w14:textId="77777777" w:rsidR="00B034AB" w:rsidRDefault="00B034AB" w:rsidP="00E36967">
            <w:pPr>
              <w:jc w:val="center"/>
            </w:pPr>
            <w:r>
              <w:t>30 – 39</w:t>
            </w:r>
          </w:p>
        </w:tc>
        <w:tc>
          <w:tcPr>
            <w:tcW w:w="594" w:type="dxa"/>
          </w:tcPr>
          <w:p w14:paraId="7AE9AB6D" w14:textId="77777777" w:rsidR="00B034AB" w:rsidRDefault="00B034AB" w:rsidP="00E36967">
            <w:pPr>
              <w:jc w:val="center"/>
            </w:pPr>
            <w:r>
              <w:t>52</w:t>
            </w:r>
          </w:p>
        </w:tc>
        <w:tc>
          <w:tcPr>
            <w:tcW w:w="972" w:type="dxa"/>
          </w:tcPr>
          <w:p w14:paraId="71627F4A" w14:textId="77777777" w:rsidR="00B034AB" w:rsidRDefault="00B034AB" w:rsidP="00E36967">
            <w:pPr>
              <w:jc w:val="center"/>
            </w:pPr>
            <w:r>
              <w:t>96.2</w:t>
            </w:r>
          </w:p>
        </w:tc>
        <w:tc>
          <w:tcPr>
            <w:tcW w:w="843" w:type="dxa"/>
          </w:tcPr>
          <w:p w14:paraId="6ABA1C1D" w14:textId="77777777" w:rsidR="00B034AB" w:rsidRDefault="00B034AB" w:rsidP="00E36967">
            <w:pPr>
              <w:jc w:val="center"/>
            </w:pPr>
            <w:r>
              <w:t>29.0</w:t>
            </w:r>
          </w:p>
        </w:tc>
        <w:tc>
          <w:tcPr>
            <w:tcW w:w="851" w:type="dxa"/>
          </w:tcPr>
          <w:p w14:paraId="00D56379" w14:textId="77777777" w:rsidR="00B034AB" w:rsidRDefault="00B034AB" w:rsidP="00E36967">
            <w:pPr>
              <w:jc w:val="center"/>
            </w:pPr>
            <w:r>
              <w:t>84.7</w:t>
            </w:r>
          </w:p>
        </w:tc>
        <w:tc>
          <w:tcPr>
            <w:tcW w:w="1260" w:type="dxa"/>
          </w:tcPr>
          <w:p w14:paraId="1555D1C1" w14:textId="77777777" w:rsidR="00B034AB" w:rsidRDefault="00B034AB" w:rsidP="00E36967">
            <w:pPr>
              <w:jc w:val="center"/>
            </w:pPr>
            <w:r>
              <w:t>123.2/79.3</w:t>
            </w:r>
          </w:p>
        </w:tc>
        <w:tc>
          <w:tcPr>
            <w:tcW w:w="990" w:type="dxa"/>
          </w:tcPr>
          <w:p w14:paraId="185CA6D1" w14:textId="77777777" w:rsidR="00B034AB" w:rsidRDefault="00B034AB" w:rsidP="00E36967">
            <w:pPr>
              <w:jc w:val="center"/>
            </w:pPr>
            <w:r>
              <w:t>7.5</w:t>
            </w:r>
          </w:p>
        </w:tc>
        <w:tc>
          <w:tcPr>
            <w:tcW w:w="923" w:type="dxa"/>
          </w:tcPr>
          <w:p w14:paraId="35786CC4" w14:textId="77777777" w:rsidR="00B034AB" w:rsidRDefault="00B034AB" w:rsidP="00E36967">
            <w:pPr>
              <w:jc w:val="center"/>
            </w:pPr>
            <w:r>
              <w:t>6.6</w:t>
            </w:r>
          </w:p>
        </w:tc>
        <w:tc>
          <w:tcPr>
            <w:tcW w:w="517" w:type="dxa"/>
          </w:tcPr>
          <w:p w14:paraId="67F16C50" w14:textId="77777777" w:rsidR="00B034AB" w:rsidRDefault="00B034AB" w:rsidP="00E36967">
            <w:pPr>
              <w:jc w:val="center"/>
            </w:pPr>
            <w:r>
              <w:t>2.4</w:t>
            </w:r>
          </w:p>
        </w:tc>
        <w:tc>
          <w:tcPr>
            <w:tcW w:w="1045" w:type="dxa"/>
            <w:vAlign w:val="bottom"/>
          </w:tcPr>
          <w:p w14:paraId="33D517C6" w14:textId="77777777" w:rsidR="00B034AB" w:rsidRPr="00B034AB" w:rsidRDefault="00B034AB">
            <w:pPr>
              <w:jc w:val="center"/>
              <w:rPr>
                <w:rFonts w:cs="Times New Roman"/>
                <w:color w:val="000000"/>
                <w:szCs w:val="24"/>
              </w:rPr>
            </w:pPr>
            <w:r w:rsidRPr="00B034AB">
              <w:rPr>
                <w:rFonts w:cs="Times New Roman"/>
                <w:color w:val="000000"/>
                <w:szCs w:val="24"/>
              </w:rPr>
              <w:t>62.8</w:t>
            </w:r>
          </w:p>
        </w:tc>
        <w:tc>
          <w:tcPr>
            <w:tcW w:w="990" w:type="dxa"/>
            <w:vAlign w:val="bottom"/>
          </w:tcPr>
          <w:p w14:paraId="10FDD130" w14:textId="77777777" w:rsidR="00B034AB" w:rsidRPr="00B034AB" w:rsidRDefault="00B034AB">
            <w:pPr>
              <w:jc w:val="center"/>
              <w:rPr>
                <w:rFonts w:cs="Times New Roman"/>
                <w:color w:val="000000"/>
                <w:szCs w:val="24"/>
              </w:rPr>
            </w:pPr>
            <w:r w:rsidRPr="00B034AB">
              <w:rPr>
                <w:rFonts w:cs="Times New Roman"/>
                <w:color w:val="000000"/>
                <w:szCs w:val="24"/>
              </w:rPr>
              <w:t>37.2</w:t>
            </w:r>
          </w:p>
        </w:tc>
        <w:tc>
          <w:tcPr>
            <w:tcW w:w="990" w:type="dxa"/>
            <w:vAlign w:val="bottom"/>
          </w:tcPr>
          <w:p w14:paraId="744ED223" w14:textId="77777777" w:rsidR="00B034AB" w:rsidRPr="00B034AB" w:rsidRDefault="00B034AB">
            <w:pPr>
              <w:jc w:val="center"/>
              <w:rPr>
                <w:rFonts w:cs="Times New Roman"/>
                <w:color w:val="000000"/>
              </w:rPr>
            </w:pPr>
            <w:r w:rsidRPr="00B034AB">
              <w:rPr>
                <w:rFonts w:cs="Times New Roman"/>
                <w:color w:val="000000"/>
              </w:rPr>
              <w:t>3.0</w:t>
            </w:r>
          </w:p>
        </w:tc>
      </w:tr>
      <w:tr w:rsidR="00B034AB" w14:paraId="1AF57866" w14:textId="77777777" w:rsidTr="00DA1C11">
        <w:tc>
          <w:tcPr>
            <w:tcW w:w="1026" w:type="dxa"/>
          </w:tcPr>
          <w:p w14:paraId="531A5D59" w14:textId="77777777" w:rsidR="00B034AB" w:rsidRDefault="00B034AB" w:rsidP="00E36967">
            <w:pPr>
              <w:jc w:val="center"/>
            </w:pPr>
            <w:r>
              <w:t>40 – 49</w:t>
            </w:r>
          </w:p>
        </w:tc>
        <w:tc>
          <w:tcPr>
            <w:tcW w:w="594" w:type="dxa"/>
          </w:tcPr>
          <w:p w14:paraId="357BF5A7" w14:textId="77777777" w:rsidR="00B034AB" w:rsidRDefault="00B034AB" w:rsidP="00E36967">
            <w:pPr>
              <w:jc w:val="center"/>
            </w:pPr>
            <w:r>
              <w:t>29</w:t>
            </w:r>
          </w:p>
        </w:tc>
        <w:tc>
          <w:tcPr>
            <w:tcW w:w="972" w:type="dxa"/>
          </w:tcPr>
          <w:p w14:paraId="6F8BC4BB" w14:textId="77777777" w:rsidR="00B034AB" w:rsidRDefault="00B034AB" w:rsidP="00E36967">
            <w:pPr>
              <w:jc w:val="center"/>
            </w:pPr>
            <w:r>
              <w:t>86.2</w:t>
            </w:r>
          </w:p>
        </w:tc>
        <w:tc>
          <w:tcPr>
            <w:tcW w:w="843" w:type="dxa"/>
          </w:tcPr>
          <w:p w14:paraId="60073B8F" w14:textId="77777777" w:rsidR="00B034AB" w:rsidRDefault="00B034AB" w:rsidP="00E36967">
            <w:pPr>
              <w:jc w:val="center"/>
            </w:pPr>
            <w:r>
              <w:t>30.5</w:t>
            </w:r>
          </w:p>
        </w:tc>
        <w:tc>
          <w:tcPr>
            <w:tcW w:w="851" w:type="dxa"/>
          </w:tcPr>
          <w:p w14:paraId="1084C015" w14:textId="77777777" w:rsidR="00B034AB" w:rsidRDefault="00B034AB" w:rsidP="00E36967">
            <w:pPr>
              <w:jc w:val="center"/>
            </w:pPr>
            <w:r>
              <w:t>79.7</w:t>
            </w:r>
          </w:p>
        </w:tc>
        <w:tc>
          <w:tcPr>
            <w:tcW w:w="1260" w:type="dxa"/>
          </w:tcPr>
          <w:p w14:paraId="4FC9A505" w14:textId="77777777" w:rsidR="00B034AB" w:rsidRDefault="00B034AB" w:rsidP="00E36967">
            <w:pPr>
              <w:jc w:val="center"/>
            </w:pPr>
            <w:r>
              <w:t>124.1/80.3</w:t>
            </w:r>
          </w:p>
        </w:tc>
        <w:tc>
          <w:tcPr>
            <w:tcW w:w="990" w:type="dxa"/>
          </w:tcPr>
          <w:p w14:paraId="05CC7DEC" w14:textId="77777777" w:rsidR="00B034AB" w:rsidRDefault="00B034AB" w:rsidP="00E36967">
            <w:pPr>
              <w:jc w:val="center"/>
            </w:pPr>
            <w:r>
              <w:t>1.9</w:t>
            </w:r>
          </w:p>
        </w:tc>
        <w:tc>
          <w:tcPr>
            <w:tcW w:w="923" w:type="dxa"/>
          </w:tcPr>
          <w:p w14:paraId="110776B1" w14:textId="77777777" w:rsidR="00B034AB" w:rsidRDefault="00B034AB" w:rsidP="00E36967">
            <w:pPr>
              <w:jc w:val="center"/>
            </w:pPr>
            <w:r>
              <w:t>2.5</w:t>
            </w:r>
          </w:p>
        </w:tc>
        <w:tc>
          <w:tcPr>
            <w:tcW w:w="517" w:type="dxa"/>
          </w:tcPr>
          <w:p w14:paraId="6661215E" w14:textId="77777777" w:rsidR="00B034AB" w:rsidRDefault="00B034AB" w:rsidP="00E36967">
            <w:pPr>
              <w:jc w:val="center"/>
            </w:pPr>
            <w:r>
              <w:t>1.7</w:t>
            </w:r>
          </w:p>
        </w:tc>
        <w:tc>
          <w:tcPr>
            <w:tcW w:w="1045" w:type="dxa"/>
            <w:vAlign w:val="bottom"/>
          </w:tcPr>
          <w:p w14:paraId="3749EE69" w14:textId="77777777" w:rsidR="00B034AB" w:rsidRPr="00B034AB" w:rsidRDefault="00B034AB">
            <w:pPr>
              <w:jc w:val="center"/>
              <w:rPr>
                <w:rFonts w:cs="Times New Roman"/>
                <w:color w:val="000000"/>
                <w:szCs w:val="24"/>
              </w:rPr>
            </w:pPr>
            <w:r w:rsidRPr="00B034AB">
              <w:rPr>
                <w:rFonts w:cs="Times New Roman"/>
                <w:color w:val="000000"/>
                <w:szCs w:val="24"/>
              </w:rPr>
              <w:t>64.1</w:t>
            </w:r>
          </w:p>
        </w:tc>
        <w:tc>
          <w:tcPr>
            <w:tcW w:w="990" w:type="dxa"/>
            <w:vAlign w:val="bottom"/>
          </w:tcPr>
          <w:p w14:paraId="2A4C1520" w14:textId="77777777" w:rsidR="00B034AB" w:rsidRPr="00B034AB" w:rsidRDefault="00B034AB">
            <w:pPr>
              <w:jc w:val="center"/>
              <w:rPr>
                <w:rFonts w:cs="Times New Roman"/>
                <w:color w:val="000000"/>
                <w:szCs w:val="24"/>
              </w:rPr>
            </w:pPr>
            <w:r w:rsidRPr="00B034AB">
              <w:rPr>
                <w:rFonts w:cs="Times New Roman"/>
                <w:color w:val="000000"/>
                <w:szCs w:val="24"/>
              </w:rPr>
              <w:t>35.9</w:t>
            </w:r>
          </w:p>
        </w:tc>
        <w:tc>
          <w:tcPr>
            <w:tcW w:w="990" w:type="dxa"/>
            <w:vAlign w:val="bottom"/>
          </w:tcPr>
          <w:p w14:paraId="43D34471" w14:textId="77777777" w:rsidR="00B034AB" w:rsidRPr="00B034AB" w:rsidRDefault="00B034AB">
            <w:pPr>
              <w:jc w:val="center"/>
              <w:rPr>
                <w:rFonts w:cs="Times New Roman"/>
                <w:color w:val="000000"/>
              </w:rPr>
            </w:pPr>
            <w:r w:rsidRPr="00B034AB">
              <w:rPr>
                <w:rFonts w:cs="Times New Roman"/>
                <w:color w:val="000000"/>
              </w:rPr>
              <w:t>3.7</w:t>
            </w:r>
          </w:p>
        </w:tc>
      </w:tr>
      <w:tr w:rsidR="00B034AB" w14:paraId="3676502D" w14:textId="77777777" w:rsidTr="00DA1C11">
        <w:tc>
          <w:tcPr>
            <w:tcW w:w="1026" w:type="dxa"/>
          </w:tcPr>
          <w:p w14:paraId="56189042" w14:textId="77777777" w:rsidR="00B034AB" w:rsidRDefault="00B034AB" w:rsidP="00E36967">
            <w:pPr>
              <w:jc w:val="center"/>
            </w:pPr>
            <w:r>
              <w:t>50 – 59</w:t>
            </w:r>
          </w:p>
        </w:tc>
        <w:tc>
          <w:tcPr>
            <w:tcW w:w="594" w:type="dxa"/>
          </w:tcPr>
          <w:p w14:paraId="07631E74" w14:textId="77777777" w:rsidR="00B034AB" w:rsidRDefault="00B034AB" w:rsidP="00E36967">
            <w:pPr>
              <w:jc w:val="center"/>
            </w:pPr>
            <w:r>
              <w:t>29</w:t>
            </w:r>
          </w:p>
        </w:tc>
        <w:tc>
          <w:tcPr>
            <w:tcW w:w="972" w:type="dxa"/>
          </w:tcPr>
          <w:p w14:paraId="0093FFE4" w14:textId="77777777" w:rsidR="00B034AB" w:rsidRDefault="00B034AB" w:rsidP="00E36967">
            <w:pPr>
              <w:jc w:val="center"/>
            </w:pPr>
            <w:r>
              <w:t>89.7</w:t>
            </w:r>
          </w:p>
        </w:tc>
        <w:tc>
          <w:tcPr>
            <w:tcW w:w="843" w:type="dxa"/>
          </w:tcPr>
          <w:p w14:paraId="48CC86B3" w14:textId="77777777" w:rsidR="00B034AB" w:rsidRDefault="00B034AB" w:rsidP="00E36967">
            <w:pPr>
              <w:jc w:val="center"/>
            </w:pPr>
            <w:r>
              <w:t>30.6</w:t>
            </w:r>
          </w:p>
        </w:tc>
        <w:tc>
          <w:tcPr>
            <w:tcW w:w="851" w:type="dxa"/>
          </w:tcPr>
          <w:p w14:paraId="695855B2" w14:textId="77777777" w:rsidR="00B034AB" w:rsidRDefault="00B034AB" w:rsidP="00E36967">
            <w:pPr>
              <w:jc w:val="center"/>
            </w:pPr>
            <w:r>
              <w:t>75.0</w:t>
            </w:r>
          </w:p>
        </w:tc>
        <w:tc>
          <w:tcPr>
            <w:tcW w:w="1260" w:type="dxa"/>
          </w:tcPr>
          <w:p w14:paraId="7CDC7CB4" w14:textId="77777777" w:rsidR="00B034AB" w:rsidRDefault="00B034AB" w:rsidP="00E36967">
            <w:pPr>
              <w:jc w:val="center"/>
            </w:pPr>
            <w:r>
              <w:t>137.6/83.5</w:t>
            </w:r>
          </w:p>
        </w:tc>
        <w:tc>
          <w:tcPr>
            <w:tcW w:w="990" w:type="dxa"/>
          </w:tcPr>
          <w:p w14:paraId="31A90CF0" w14:textId="77777777" w:rsidR="00B034AB" w:rsidRDefault="00B034AB" w:rsidP="00E36967">
            <w:pPr>
              <w:jc w:val="center"/>
            </w:pPr>
            <w:r>
              <w:t>1.5</w:t>
            </w:r>
          </w:p>
        </w:tc>
        <w:tc>
          <w:tcPr>
            <w:tcW w:w="923" w:type="dxa"/>
          </w:tcPr>
          <w:p w14:paraId="3D621D4B" w14:textId="77777777" w:rsidR="00B034AB" w:rsidRDefault="00B034AB" w:rsidP="00E36967">
            <w:pPr>
              <w:jc w:val="center"/>
            </w:pPr>
            <w:r>
              <w:t>2.0</w:t>
            </w:r>
          </w:p>
        </w:tc>
        <w:tc>
          <w:tcPr>
            <w:tcW w:w="517" w:type="dxa"/>
          </w:tcPr>
          <w:p w14:paraId="780A925F" w14:textId="77777777" w:rsidR="00B034AB" w:rsidRDefault="00B034AB" w:rsidP="00E36967">
            <w:pPr>
              <w:jc w:val="center"/>
            </w:pPr>
            <w:r>
              <w:t>2.6</w:t>
            </w:r>
          </w:p>
        </w:tc>
        <w:tc>
          <w:tcPr>
            <w:tcW w:w="1045" w:type="dxa"/>
            <w:vAlign w:val="bottom"/>
          </w:tcPr>
          <w:p w14:paraId="489E3555" w14:textId="77777777" w:rsidR="00B034AB" w:rsidRPr="00B034AB" w:rsidRDefault="00B034AB">
            <w:pPr>
              <w:jc w:val="center"/>
              <w:rPr>
                <w:rFonts w:cs="Times New Roman"/>
                <w:color w:val="000000"/>
                <w:szCs w:val="24"/>
              </w:rPr>
            </w:pPr>
            <w:r w:rsidRPr="00B034AB">
              <w:rPr>
                <w:rFonts w:cs="Times New Roman"/>
                <w:color w:val="000000"/>
                <w:szCs w:val="24"/>
              </w:rPr>
              <w:t>63.4</w:t>
            </w:r>
          </w:p>
        </w:tc>
        <w:tc>
          <w:tcPr>
            <w:tcW w:w="990" w:type="dxa"/>
            <w:vAlign w:val="bottom"/>
          </w:tcPr>
          <w:p w14:paraId="7870CA3A" w14:textId="77777777" w:rsidR="00B034AB" w:rsidRPr="00B034AB" w:rsidRDefault="00B034AB">
            <w:pPr>
              <w:jc w:val="center"/>
              <w:rPr>
                <w:rFonts w:cs="Times New Roman"/>
                <w:color w:val="000000"/>
                <w:szCs w:val="24"/>
              </w:rPr>
            </w:pPr>
            <w:r w:rsidRPr="00B034AB">
              <w:rPr>
                <w:rFonts w:cs="Times New Roman"/>
                <w:color w:val="000000"/>
                <w:szCs w:val="24"/>
              </w:rPr>
              <w:t>36.6</w:t>
            </w:r>
          </w:p>
        </w:tc>
        <w:tc>
          <w:tcPr>
            <w:tcW w:w="990" w:type="dxa"/>
            <w:vAlign w:val="bottom"/>
          </w:tcPr>
          <w:p w14:paraId="1A0B16CC" w14:textId="77777777" w:rsidR="00B034AB" w:rsidRPr="00B034AB" w:rsidRDefault="00B034AB">
            <w:pPr>
              <w:jc w:val="center"/>
              <w:rPr>
                <w:rFonts w:cs="Times New Roman"/>
                <w:color w:val="000000"/>
              </w:rPr>
            </w:pPr>
            <w:r w:rsidRPr="00B034AB">
              <w:rPr>
                <w:rFonts w:cs="Times New Roman"/>
                <w:color w:val="000000"/>
              </w:rPr>
              <w:t>3.0</w:t>
            </w:r>
          </w:p>
        </w:tc>
      </w:tr>
      <w:tr w:rsidR="00B034AB" w14:paraId="11742487" w14:textId="77777777" w:rsidTr="00DA1C11">
        <w:tc>
          <w:tcPr>
            <w:tcW w:w="1026" w:type="dxa"/>
            <w:tcBorders>
              <w:bottom w:val="single" w:sz="4" w:space="0" w:color="auto"/>
            </w:tcBorders>
          </w:tcPr>
          <w:p w14:paraId="73EE8D6F" w14:textId="77777777" w:rsidR="00B034AB" w:rsidRDefault="00B034AB" w:rsidP="00E36967">
            <w:pPr>
              <w:jc w:val="center"/>
            </w:pPr>
            <w:r>
              <w:t>60 – 69</w:t>
            </w:r>
          </w:p>
        </w:tc>
        <w:tc>
          <w:tcPr>
            <w:tcW w:w="594" w:type="dxa"/>
            <w:tcBorders>
              <w:bottom w:val="single" w:sz="4" w:space="0" w:color="auto"/>
            </w:tcBorders>
          </w:tcPr>
          <w:p w14:paraId="21B4D948" w14:textId="77777777" w:rsidR="00B034AB" w:rsidRDefault="00B034AB" w:rsidP="00E36967">
            <w:pPr>
              <w:jc w:val="center"/>
            </w:pPr>
            <w:r>
              <w:t>7</w:t>
            </w:r>
          </w:p>
        </w:tc>
        <w:tc>
          <w:tcPr>
            <w:tcW w:w="972" w:type="dxa"/>
            <w:tcBorders>
              <w:bottom w:val="single" w:sz="4" w:space="0" w:color="auto"/>
            </w:tcBorders>
          </w:tcPr>
          <w:p w14:paraId="32005FAC" w14:textId="77777777" w:rsidR="00B034AB" w:rsidRDefault="00B034AB" w:rsidP="00E36967">
            <w:pPr>
              <w:jc w:val="center"/>
            </w:pPr>
            <w:r>
              <w:t>85.7</w:t>
            </w:r>
          </w:p>
        </w:tc>
        <w:tc>
          <w:tcPr>
            <w:tcW w:w="843" w:type="dxa"/>
            <w:tcBorders>
              <w:bottom w:val="single" w:sz="4" w:space="0" w:color="auto"/>
            </w:tcBorders>
          </w:tcPr>
          <w:p w14:paraId="53630C05" w14:textId="77777777" w:rsidR="00B034AB" w:rsidRDefault="00B034AB" w:rsidP="00E36967">
            <w:pPr>
              <w:jc w:val="center"/>
            </w:pPr>
            <w:r>
              <w:t>25.6</w:t>
            </w:r>
          </w:p>
        </w:tc>
        <w:tc>
          <w:tcPr>
            <w:tcW w:w="851" w:type="dxa"/>
            <w:tcBorders>
              <w:bottom w:val="single" w:sz="4" w:space="0" w:color="auto"/>
            </w:tcBorders>
          </w:tcPr>
          <w:p w14:paraId="19D1010C" w14:textId="77777777" w:rsidR="00B034AB" w:rsidRDefault="00B034AB" w:rsidP="00E36967">
            <w:pPr>
              <w:jc w:val="center"/>
            </w:pPr>
            <w:r>
              <w:t>69.6</w:t>
            </w:r>
          </w:p>
        </w:tc>
        <w:tc>
          <w:tcPr>
            <w:tcW w:w="1260" w:type="dxa"/>
            <w:tcBorders>
              <w:bottom w:val="single" w:sz="4" w:space="0" w:color="auto"/>
            </w:tcBorders>
          </w:tcPr>
          <w:p w14:paraId="0221EC0D" w14:textId="77777777" w:rsidR="00B034AB" w:rsidRDefault="00B034AB" w:rsidP="00E36967">
            <w:pPr>
              <w:jc w:val="center"/>
            </w:pPr>
            <w:r>
              <w:t>137.5/78.0</w:t>
            </w:r>
          </w:p>
        </w:tc>
        <w:tc>
          <w:tcPr>
            <w:tcW w:w="990" w:type="dxa"/>
            <w:tcBorders>
              <w:bottom w:val="single" w:sz="4" w:space="0" w:color="auto"/>
            </w:tcBorders>
          </w:tcPr>
          <w:p w14:paraId="6A695529" w14:textId="77777777" w:rsidR="00B034AB" w:rsidRDefault="00B034AB" w:rsidP="00E36967">
            <w:pPr>
              <w:jc w:val="center"/>
            </w:pPr>
            <w:r>
              <w:t>0.7</w:t>
            </w:r>
          </w:p>
        </w:tc>
        <w:tc>
          <w:tcPr>
            <w:tcW w:w="923" w:type="dxa"/>
            <w:tcBorders>
              <w:bottom w:val="single" w:sz="4" w:space="0" w:color="auto"/>
            </w:tcBorders>
          </w:tcPr>
          <w:p w14:paraId="65F4E6B4" w14:textId="77777777" w:rsidR="00B034AB" w:rsidRDefault="00B034AB" w:rsidP="00E36967">
            <w:pPr>
              <w:jc w:val="center"/>
            </w:pPr>
            <w:r>
              <w:t>0.9</w:t>
            </w:r>
          </w:p>
        </w:tc>
        <w:tc>
          <w:tcPr>
            <w:tcW w:w="517" w:type="dxa"/>
            <w:tcBorders>
              <w:bottom w:val="single" w:sz="4" w:space="0" w:color="auto"/>
            </w:tcBorders>
          </w:tcPr>
          <w:p w14:paraId="7F436BF1" w14:textId="77777777" w:rsidR="00B034AB" w:rsidRDefault="00B034AB" w:rsidP="00E36967">
            <w:pPr>
              <w:jc w:val="center"/>
            </w:pPr>
            <w:r>
              <w:t>2.3</w:t>
            </w:r>
          </w:p>
        </w:tc>
        <w:tc>
          <w:tcPr>
            <w:tcW w:w="1045" w:type="dxa"/>
            <w:tcBorders>
              <w:bottom w:val="single" w:sz="4" w:space="0" w:color="auto"/>
            </w:tcBorders>
            <w:vAlign w:val="bottom"/>
          </w:tcPr>
          <w:p w14:paraId="5890F39C" w14:textId="77777777" w:rsidR="00B034AB" w:rsidRPr="00B034AB" w:rsidRDefault="00B034AB">
            <w:pPr>
              <w:jc w:val="center"/>
              <w:rPr>
                <w:rFonts w:cs="Times New Roman"/>
                <w:color w:val="000000"/>
                <w:szCs w:val="24"/>
              </w:rPr>
            </w:pPr>
            <w:r w:rsidRPr="00B034AB">
              <w:rPr>
                <w:rFonts w:cs="Times New Roman"/>
                <w:color w:val="000000"/>
                <w:szCs w:val="24"/>
              </w:rPr>
              <w:t>56.9</w:t>
            </w:r>
          </w:p>
        </w:tc>
        <w:tc>
          <w:tcPr>
            <w:tcW w:w="990" w:type="dxa"/>
            <w:tcBorders>
              <w:bottom w:val="single" w:sz="4" w:space="0" w:color="auto"/>
            </w:tcBorders>
            <w:vAlign w:val="bottom"/>
          </w:tcPr>
          <w:p w14:paraId="4BDE99A3" w14:textId="77777777" w:rsidR="00B034AB" w:rsidRPr="00B034AB" w:rsidRDefault="00B034AB">
            <w:pPr>
              <w:jc w:val="center"/>
              <w:rPr>
                <w:rFonts w:cs="Times New Roman"/>
                <w:color w:val="000000"/>
                <w:szCs w:val="24"/>
              </w:rPr>
            </w:pPr>
            <w:r w:rsidRPr="00B034AB">
              <w:rPr>
                <w:rFonts w:cs="Times New Roman"/>
                <w:color w:val="000000"/>
                <w:szCs w:val="24"/>
              </w:rPr>
              <w:t>43.1</w:t>
            </w:r>
          </w:p>
        </w:tc>
        <w:tc>
          <w:tcPr>
            <w:tcW w:w="990" w:type="dxa"/>
            <w:tcBorders>
              <w:bottom w:val="single" w:sz="4" w:space="0" w:color="auto"/>
            </w:tcBorders>
            <w:vAlign w:val="bottom"/>
          </w:tcPr>
          <w:p w14:paraId="35B8E69F" w14:textId="77777777" w:rsidR="00B034AB" w:rsidRPr="00B034AB" w:rsidRDefault="00B034AB">
            <w:pPr>
              <w:jc w:val="center"/>
              <w:rPr>
                <w:rFonts w:cs="Times New Roman"/>
                <w:color w:val="000000"/>
              </w:rPr>
            </w:pPr>
            <w:r w:rsidRPr="00B034AB">
              <w:rPr>
                <w:rFonts w:cs="Times New Roman"/>
                <w:color w:val="000000"/>
              </w:rPr>
              <w:t>2.7</w:t>
            </w:r>
          </w:p>
        </w:tc>
      </w:tr>
      <w:tr w:rsidR="00B034AB" w14:paraId="1D549B52" w14:textId="77777777" w:rsidTr="00DA1C11">
        <w:tc>
          <w:tcPr>
            <w:tcW w:w="1026" w:type="dxa"/>
            <w:tcBorders>
              <w:bottom w:val="single" w:sz="12" w:space="0" w:color="auto"/>
            </w:tcBorders>
          </w:tcPr>
          <w:p w14:paraId="2FA9FC73" w14:textId="77777777" w:rsidR="00B034AB" w:rsidRDefault="00B034AB" w:rsidP="00E36967">
            <w:pPr>
              <w:jc w:val="center"/>
            </w:pPr>
            <w:r>
              <w:rPr>
                <w:rFonts w:cs="Times New Roman"/>
              </w:rPr>
              <w:t>≥</w:t>
            </w:r>
            <w:r>
              <w:t xml:space="preserve"> 70</w:t>
            </w:r>
          </w:p>
        </w:tc>
        <w:tc>
          <w:tcPr>
            <w:tcW w:w="594" w:type="dxa"/>
            <w:tcBorders>
              <w:bottom w:val="single" w:sz="12" w:space="0" w:color="auto"/>
            </w:tcBorders>
          </w:tcPr>
          <w:p w14:paraId="2746A477" w14:textId="77777777" w:rsidR="00B034AB" w:rsidRDefault="00B034AB" w:rsidP="00E36967">
            <w:pPr>
              <w:jc w:val="center"/>
            </w:pPr>
            <w:r>
              <w:t>8</w:t>
            </w:r>
          </w:p>
        </w:tc>
        <w:tc>
          <w:tcPr>
            <w:tcW w:w="972" w:type="dxa"/>
            <w:tcBorders>
              <w:bottom w:val="single" w:sz="12" w:space="0" w:color="auto"/>
            </w:tcBorders>
          </w:tcPr>
          <w:p w14:paraId="5C203728" w14:textId="77777777" w:rsidR="00B034AB" w:rsidRDefault="00B034AB" w:rsidP="00E36967">
            <w:pPr>
              <w:jc w:val="center"/>
            </w:pPr>
            <w:r>
              <w:t>50.0</w:t>
            </w:r>
          </w:p>
        </w:tc>
        <w:tc>
          <w:tcPr>
            <w:tcW w:w="843" w:type="dxa"/>
            <w:tcBorders>
              <w:bottom w:val="single" w:sz="12" w:space="0" w:color="auto"/>
            </w:tcBorders>
          </w:tcPr>
          <w:p w14:paraId="5AF0CFC6" w14:textId="77777777" w:rsidR="00B034AB" w:rsidRDefault="00B034AB" w:rsidP="00E36967">
            <w:pPr>
              <w:jc w:val="center"/>
            </w:pPr>
            <w:r>
              <w:t>27.6</w:t>
            </w:r>
          </w:p>
        </w:tc>
        <w:tc>
          <w:tcPr>
            <w:tcW w:w="851" w:type="dxa"/>
            <w:tcBorders>
              <w:bottom w:val="single" w:sz="12" w:space="0" w:color="auto"/>
            </w:tcBorders>
          </w:tcPr>
          <w:p w14:paraId="635FBB64" w14:textId="77777777" w:rsidR="00B034AB" w:rsidRDefault="00B034AB" w:rsidP="00E36967">
            <w:pPr>
              <w:jc w:val="center"/>
            </w:pPr>
            <w:r>
              <w:t>75.9</w:t>
            </w:r>
          </w:p>
        </w:tc>
        <w:tc>
          <w:tcPr>
            <w:tcW w:w="1260" w:type="dxa"/>
            <w:tcBorders>
              <w:bottom w:val="single" w:sz="12" w:space="0" w:color="auto"/>
            </w:tcBorders>
          </w:tcPr>
          <w:p w14:paraId="6AA4CAB6" w14:textId="77777777" w:rsidR="00B034AB" w:rsidRDefault="00B034AB" w:rsidP="00E36967">
            <w:pPr>
              <w:jc w:val="center"/>
            </w:pPr>
            <w:r>
              <w:t>136.7/71.7</w:t>
            </w:r>
          </w:p>
        </w:tc>
        <w:tc>
          <w:tcPr>
            <w:tcW w:w="990" w:type="dxa"/>
            <w:tcBorders>
              <w:bottom w:val="single" w:sz="12" w:space="0" w:color="auto"/>
            </w:tcBorders>
          </w:tcPr>
          <w:p w14:paraId="4F018AB9" w14:textId="77777777" w:rsidR="00B034AB" w:rsidRDefault="00B034AB" w:rsidP="00E36967">
            <w:pPr>
              <w:jc w:val="center"/>
            </w:pPr>
            <w:r>
              <w:t>0.2</w:t>
            </w:r>
          </w:p>
        </w:tc>
        <w:tc>
          <w:tcPr>
            <w:tcW w:w="923" w:type="dxa"/>
            <w:tcBorders>
              <w:bottom w:val="single" w:sz="12" w:space="0" w:color="auto"/>
            </w:tcBorders>
          </w:tcPr>
          <w:p w14:paraId="0933B68C" w14:textId="77777777" w:rsidR="00B034AB" w:rsidRDefault="00B034AB" w:rsidP="00E36967">
            <w:pPr>
              <w:jc w:val="center"/>
            </w:pPr>
            <w:r>
              <w:t>0.5</w:t>
            </w:r>
          </w:p>
        </w:tc>
        <w:tc>
          <w:tcPr>
            <w:tcW w:w="517" w:type="dxa"/>
            <w:tcBorders>
              <w:bottom w:val="single" w:sz="12" w:space="0" w:color="auto"/>
            </w:tcBorders>
          </w:tcPr>
          <w:p w14:paraId="1FEEDC72" w14:textId="77777777" w:rsidR="00B034AB" w:rsidRDefault="00B034AB" w:rsidP="00E36967">
            <w:pPr>
              <w:jc w:val="center"/>
            </w:pPr>
            <w:r>
              <w:t>2.0</w:t>
            </w:r>
          </w:p>
        </w:tc>
        <w:tc>
          <w:tcPr>
            <w:tcW w:w="1045" w:type="dxa"/>
            <w:tcBorders>
              <w:bottom w:val="single" w:sz="12" w:space="0" w:color="auto"/>
            </w:tcBorders>
            <w:vAlign w:val="bottom"/>
          </w:tcPr>
          <w:p w14:paraId="298BD51C" w14:textId="77777777" w:rsidR="00B034AB" w:rsidRPr="00B034AB" w:rsidRDefault="00B034AB">
            <w:pPr>
              <w:jc w:val="center"/>
              <w:rPr>
                <w:rFonts w:cs="Times New Roman"/>
                <w:color w:val="000000"/>
                <w:szCs w:val="24"/>
              </w:rPr>
            </w:pPr>
            <w:r w:rsidRPr="00B034AB">
              <w:rPr>
                <w:rFonts w:cs="Times New Roman"/>
                <w:color w:val="000000"/>
                <w:szCs w:val="24"/>
              </w:rPr>
              <w:t>57.5</w:t>
            </w:r>
          </w:p>
        </w:tc>
        <w:tc>
          <w:tcPr>
            <w:tcW w:w="990" w:type="dxa"/>
            <w:tcBorders>
              <w:bottom w:val="single" w:sz="12" w:space="0" w:color="auto"/>
            </w:tcBorders>
            <w:vAlign w:val="bottom"/>
          </w:tcPr>
          <w:p w14:paraId="747B68E3" w14:textId="77777777" w:rsidR="00B034AB" w:rsidRPr="00B034AB" w:rsidRDefault="00B034AB">
            <w:pPr>
              <w:jc w:val="center"/>
              <w:rPr>
                <w:rFonts w:cs="Times New Roman"/>
                <w:color w:val="000000"/>
                <w:szCs w:val="24"/>
              </w:rPr>
            </w:pPr>
            <w:r w:rsidRPr="00B034AB">
              <w:rPr>
                <w:rFonts w:cs="Times New Roman"/>
                <w:color w:val="000000"/>
                <w:szCs w:val="24"/>
              </w:rPr>
              <w:t>42.5</w:t>
            </w:r>
          </w:p>
        </w:tc>
        <w:tc>
          <w:tcPr>
            <w:tcW w:w="990" w:type="dxa"/>
            <w:tcBorders>
              <w:bottom w:val="single" w:sz="12" w:space="0" w:color="auto"/>
            </w:tcBorders>
            <w:vAlign w:val="bottom"/>
          </w:tcPr>
          <w:p w14:paraId="3D73C4E0" w14:textId="77777777" w:rsidR="00B034AB" w:rsidRPr="00B034AB" w:rsidRDefault="00B034AB">
            <w:pPr>
              <w:jc w:val="center"/>
              <w:rPr>
                <w:rFonts w:cs="Times New Roman"/>
                <w:color w:val="000000"/>
              </w:rPr>
            </w:pPr>
            <w:r w:rsidRPr="00B034AB">
              <w:rPr>
                <w:rFonts w:cs="Times New Roman"/>
                <w:color w:val="000000"/>
              </w:rPr>
              <w:t>1.8</w:t>
            </w:r>
          </w:p>
        </w:tc>
      </w:tr>
      <w:tr w:rsidR="008D1D1B" w14:paraId="4099AED0" w14:textId="77777777" w:rsidTr="00DA1C11">
        <w:tc>
          <w:tcPr>
            <w:tcW w:w="1026" w:type="dxa"/>
            <w:tcBorders>
              <w:top w:val="single" w:sz="12" w:space="0" w:color="auto"/>
            </w:tcBorders>
          </w:tcPr>
          <w:p w14:paraId="51D75960" w14:textId="77777777" w:rsidR="008D1D1B" w:rsidRDefault="00DA1C11" w:rsidP="00E36967">
            <w:pPr>
              <w:jc w:val="center"/>
              <w:rPr>
                <w:rFonts w:cs="Times New Roman"/>
              </w:rPr>
            </w:pPr>
            <w:r>
              <w:rPr>
                <w:rFonts w:cs="Times New Roman"/>
              </w:rPr>
              <w:t>Total</w:t>
            </w:r>
          </w:p>
        </w:tc>
        <w:tc>
          <w:tcPr>
            <w:tcW w:w="594" w:type="dxa"/>
            <w:tcBorders>
              <w:top w:val="single" w:sz="12" w:space="0" w:color="auto"/>
            </w:tcBorders>
          </w:tcPr>
          <w:p w14:paraId="4D8CA7BE" w14:textId="77777777" w:rsidR="008D1D1B" w:rsidRDefault="00DA1C11" w:rsidP="00E36967">
            <w:pPr>
              <w:jc w:val="center"/>
            </w:pPr>
            <w:r>
              <w:t>243</w:t>
            </w:r>
          </w:p>
        </w:tc>
        <w:tc>
          <w:tcPr>
            <w:tcW w:w="972" w:type="dxa"/>
            <w:tcBorders>
              <w:top w:val="single" w:sz="12" w:space="0" w:color="auto"/>
            </w:tcBorders>
          </w:tcPr>
          <w:p w14:paraId="280C0522" w14:textId="77777777" w:rsidR="008D1D1B" w:rsidRDefault="00DA1C11" w:rsidP="00E36967">
            <w:pPr>
              <w:jc w:val="center"/>
            </w:pPr>
            <w:r>
              <w:t>223</w:t>
            </w:r>
          </w:p>
        </w:tc>
        <w:tc>
          <w:tcPr>
            <w:tcW w:w="843" w:type="dxa"/>
            <w:tcBorders>
              <w:top w:val="single" w:sz="12" w:space="0" w:color="auto"/>
            </w:tcBorders>
          </w:tcPr>
          <w:p w14:paraId="702DAC69" w14:textId="77777777" w:rsidR="008D1D1B" w:rsidRDefault="00DA1C11" w:rsidP="00E36967">
            <w:pPr>
              <w:jc w:val="center"/>
            </w:pPr>
            <w:r>
              <w:t>27.3</w:t>
            </w:r>
          </w:p>
        </w:tc>
        <w:tc>
          <w:tcPr>
            <w:tcW w:w="851" w:type="dxa"/>
            <w:tcBorders>
              <w:top w:val="single" w:sz="12" w:space="0" w:color="auto"/>
            </w:tcBorders>
          </w:tcPr>
          <w:p w14:paraId="233C27CA" w14:textId="77777777" w:rsidR="008D1D1B" w:rsidRDefault="00DA1C11" w:rsidP="00E36967">
            <w:pPr>
              <w:jc w:val="center"/>
            </w:pPr>
            <w:r>
              <w:t>83.2</w:t>
            </w:r>
          </w:p>
        </w:tc>
        <w:tc>
          <w:tcPr>
            <w:tcW w:w="1260" w:type="dxa"/>
            <w:tcBorders>
              <w:top w:val="single" w:sz="12" w:space="0" w:color="auto"/>
            </w:tcBorders>
          </w:tcPr>
          <w:p w14:paraId="55CF3CBC" w14:textId="77777777" w:rsidR="008D1D1B" w:rsidRDefault="00DA1C11" w:rsidP="00E36967">
            <w:pPr>
              <w:jc w:val="center"/>
            </w:pPr>
            <w:r>
              <w:t>124.0/77.6</w:t>
            </w:r>
          </w:p>
        </w:tc>
        <w:tc>
          <w:tcPr>
            <w:tcW w:w="990" w:type="dxa"/>
            <w:tcBorders>
              <w:top w:val="single" w:sz="12" w:space="0" w:color="auto"/>
            </w:tcBorders>
          </w:tcPr>
          <w:p w14:paraId="0A59D5A9" w14:textId="77777777" w:rsidR="008D1D1B" w:rsidRDefault="00DA1C11" w:rsidP="00E36967">
            <w:pPr>
              <w:jc w:val="center"/>
            </w:pPr>
            <w:r>
              <w:t>6.3</w:t>
            </w:r>
          </w:p>
        </w:tc>
        <w:tc>
          <w:tcPr>
            <w:tcW w:w="923" w:type="dxa"/>
            <w:tcBorders>
              <w:top w:val="single" w:sz="12" w:space="0" w:color="auto"/>
            </w:tcBorders>
          </w:tcPr>
          <w:p w14:paraId="3366744F" w14:textId="77777777" w:rsidR="008D1D1B" w:rsidRDefault="00DA1C11" w:rsidP="00E36967">
            <w:pPr>
              <w:jc w:val="center"/>
            </w:pPr>
            <w:r>
              <w:t>6.7</w:t>
            </w:r>
          </w:p>
        </w:tc>
        <w:tc>
          <w:tcPr>
            <w:tcW w:w="517" w:type="dxa"/>
            <w:tcBorders>
              <w:top w:val="single" w:sz="12" w:space="0" w:color="auto"/>
            </w:tcBorders>
          </w:tcPr>
          <w:p w14:paraId="7C88D236" w14:textId="77777777" w:rsidR="008D1D1B" w:rsidRDefault="00DA1C11" w:rsidP="00E36967">
            <w:pPr>
              <w:jc w:val="center"/>
            </w:pPr>
            <w:r>
              <w:t>2.1</w:t>
            </w:r>
          </w:p>
        </w:tc>
        <w:tc>
          <w:tcPr>
            <w:tcW w:w="1045" w:type="dxa"/>
            <w:tcBorders>
              <w:top w:val="single" w:sz="12" w:space="0" w:color="auto"/>
            </w:tcBorders>
            <w:vAlign w:val="bottom"/>
          </w:tcPr>
          <w:p w14:paraId="27F567D1" w14:textId="77777777" w:rsidR="008D1D1B" w:rsidRPr="00B034AB" w:rsidRDefault="00DA1C11">
            <w:pPr>
              <w:jc w:val="center"/>
              <w:rPr>
                <w:rFonts w:cs="Times New Roman"/>
                <w:color w:val="000000"/>
                <w:szCs w:val="24"/>
              </w:rPr>
            </w:pPr>
            <w:r>
              <w:rPr>
                <w:rFonts w:cs="Times New Roman"/>
                <w:color w:val="000000"/>
                <w:szCs w:val="24"/>
              </w:rPr>
              <w:t>63.0</w:t>
            </w:r>
          </w:p>
        </w:tc>
        <w:tc>
          <w:tcPr>
            <w:tcW w:w="990" w:type="dxa"/>
            <w:tcBorders>
              <w:top w:val="single" w:sz="12" w:space="0" w:color="auto"/>
            </w:tcBorders>
            <w:vAlign w:val="bottom"/>
          </w:tcPr>
          <w:p w14:paraId="0C9C7CB1" w14:textId="77777777" w:rsidR="008D1D1B" w:rsidRPr="00B034AB" w:rsidRDefault="00DA1C11">
            <w:pPr>
              <w:jc w:val="center"/>
              <w:rPr>
                <w:rFonts w:cs="Times New Roman"/>
                <w:color w:val="000000"/>
                <w:szCs w:val="24"/>
              </w:rPr>
            </w:pPr>
            <w:r>
              <w:rPr>
                <w:rFonts w:cs="Times New Roman"/>
                <w:color w:val="000000"/>
                <w:szCs w:val="24"/>
              </w:rPr>
              <w:t>37.0</w:t>
            </w:r>
          </w:p>
        </w:tc>
        <w:tc>
          <w:tcPr>
            <w:tcW w:w="990" w:type="dxa"/>
            <w:tcBorders>
              <w:top w:val="single" w:sz="12" w:space="0" w:color="auto"/>
            </w:tcBorders>
            <w:vAlign w:val="bottom"/>
          </w:tcPr>
          <w:p w14:paraId="6A685BE1" w14:textId="77777777" w:rsidR="008D1D1B" w:rsidRPr="00B034AB" w:rsidRDefault="00DA1C11">
            <w:pPr>
              <w:jc w:val="center"/>
              <w:rPr>
                <w:rFonts w:cs="Times New Roman"/>
                <w:color w:val="000000"/>
              </w:rPr>
            </w:pPr>
            <w:r>
              <w:rPr>
                <w:rFonts w:cs="Times New Roman"/>
                <w:color w:val="000000"/>
              </w:rPr>
              <w:t>2.8</w:t>
            </w:r>
          </w:p>
        </w:tc>
      </w:tr>
    </w:tbl>
    <w:p w14:paraId="62D446DD" w14:textId="77777777" w:rsidR="00FF7ED0" w:rsidRPr="00CE2868" w:rsidRDefault="00FF7ED0" w:rsidP="00FF7ED0">
      <w:pPr>
        <w:spacing w:before="0"/>
        <w:ind w:left="-180" w:right="-180"/>
        <w:rPr>
          <w:sz w:val="20"/>
        </w:rPr>
      </w:pPr>
      <w:r>
        <w:rPr>
          <w:sz w:val="20"/>
        </w:rPr>
        <w:t xml:space="preserve">BMI, Body Mass Index; E/I, Exhalation/Inhalation; 30:15, Stand or upright posture; SB and </w:t>
      </w:r>
      <w:r w:rsidR="00B034AB">
        <w:rPr>
          <w:sz w:val="20"/>
        </w:rPr>
        <w:t>LF/HF</w:t>
      </w:r>
      <w:r>
        <w:rPr>
          <w:sz w:val="20"/>
        </w:rPr>
        <w:t xml:space="preserve"> are unitless.</w:t>
      </w:r>
    </w:p>
    <w:p w14:paraId="34533192" w14:textId="77777777" w:rsidR="001B30EA" w:rsidRDefault="001B30EA" w:rsidP="00F024A0"/>
    <w:p w14:paraId="27C1D331" w14:textId="77777777" w:rsidR="00CF3DB9" w:rsidRDefault="00CF3DB9" w:rsidP="001B30EA">
      <w:pPr>
        <w:pStyle w:val="Default"/>
        <w:spacing w:before="120"/>
        <w:sectPr w:rsidR="00CF3DB9" w:rsidSect="001B30EA">
          <w:footnotePr>
            <w:numFmt w:val="chicago"/>
          </w:footnotePr>
          <w:endnotePr>
            <w:numFmt w:val="decimal"/>
          </w:endnotePr>
          <w:type w:val="continuous"/>
          <w:pgSz w:w="12240" w:h="15840"/>
          <w:pgMar w:top="1440" w:right="1440" w:bottom="1440" w:left="1440" w:header="720" w:footer="720" w:gutter="0"/>
          <w:cols w:space="720"/>
          <w:docGrid w:linePitch="360"/>
        </w:sectPr>
      </w:pPr>
    </w:p>
    <w:p w14:paraId="5DB0D49B" w14:textId="77777777" w:rsidR="001B30EA" w:rsidRDefault="001B30EA" w:rsidP="001B30EA">
      <w:pPr>
        <w:pStyle w:val="Default"/>
        <w:spacing w:before="120"/>
      </w:pPr>
      <w:r>
        <w:t>The preferred SB for older, ≥ 65 y/o, sicker patients is 0.4 &lt; SB &lt; 1.0.  The low-normal range for SB in older, sicker patients is known to be cardio-protective [</w:t>
      </w:r>
      <w:bookmarkStart w:id="6" w:name="_Ref266092968"/>
      <w:r w:rsidRPr="00FF7ED0">
        <w:rPr>
          <w:rStyle w:val="EndnoteReference"/>
          <w:vertAlign w:val="baseline"/>
        </w:rPr>
        <w:endnoteReference w:id="8"/>
      </w:r>
      <w:bookmarkEnd w:id="6"/>
      <w:r>
        <w:t>] and protective of bodily systems in general.</w:t>
      </w:r>
    </w:p>
    <w:p w14:paraId="04AF7C4F" w14:textId="7B223B3A" w:rsidR="00F024A0" w:rsidRDefault="001B30EA" w:rsidP="00F024A0">
      <w:r>
        <w:t>Overall</w:t>
      </w:r>
      <w:r w:rsidR="00A77555">
        <w:t>, patients appear normal at rest.  Perhaps their BPs are elevated, arguably due to the pain,</w:t>
      </w:r>
      <w:r w:rsidR="00276EAA">
        <w:t xml:space="preserve"> but</w:t>
      </w:r>
      <w:r w:rsidR="00A77555">
        <w:t xml:space="preserve"> the rest of their resting results as taken from a typical office visit are well within normal limits.  </w:t>
      </w:r>
      <w:r w:rsidR="00B05CE0">
        <w:t>Here</w:t>
      </w:r>
      <w:r w:rsidR="00276EAA">
        <w:t>,</w:t>
      </w:r>
      <w:r w:rsidR="00B05CE0">
        <w:t xml:space="preserve"> we differentiate autonomic from P&amp;S testing because most autonomic tests (</w:t>
      </w:r>
      <w:r w:rsidR="00B05CE0">
        <w:rPr>
          <w:i/>
        </w:rPr>
        <w:t>e.g.</w:t>
      </w:r>
      <w:r w:rsidR="00B05CE0">
        <w:t>, tilt-table testing) test only total autonomic function</w:t>
      </w:r>
      <w:r w:rsidR="00276EAA">
        <w:t>,</w:t>
      </w:r>
      <w:r w:rsidR="00B05CE0">
        <w:t xml:space="preserve"> forcing assumption and approximation to theorize specific P&amp;S dysfunction</w:t>
      </w:r>
      <w:r w:rsidR="00276EAA">
        <w:t>,</w:t>
      </w:r>
      <w:r w:rsidR="00B05CE0">
        <w:t xml:space="preserve"> whereas P&amp;S Monitoring specifies P from S dysfunction, objectively and quantitatively, and enables serial testing for trending and follow-up.</w:t>
      </w:r>
      <w:r w:rsidR="00A77555">
        <w:t xml:space="preserve">  In the case of this cohort, the resting autonomic test results (LF, HF, and LF/HF ratio) are well within normal limits.  The P&amp;S results are within normal limits, </w:t>
      </w:r>
      <w:r w:rsidR="00A77555">
        <w:t xml:space="preserve">but rather elevated in the 20s and 30s as compared to age-matched Normals (see </w:t>
      </w:r>
      <w:r w:rsidR="00A77555" w:rsidRPr="00A77555">
        <w:fldChar w:fldCharType="begin"/>
      </w:r>
      <w:r w:rsidR="00A77555" w:rsidRPr="00A77555">
        <w:instrText xml:space="preserve"> REF _Ref57708935 \h  \* MERGEFORMAT </w:instrText>
      </w:r>
      <w:r w:rsidR="00A77555" w:rsidRPr="00A77555">
        <w:fldChar w:fldCharType="separate"/>
      </w:r>
      <w:r w:rsidR="00B71636" w:rsidRPr="00B71636">
        <w:t xml:space="preserve">Figure </w:t>
      </w:r>
      <w:r w:rsidR="00B71636" w:rsidRPr="00B71636">
        <w:rPr>
          <w:noProof/>
        </w:rPr>
        <w:t>1</w:t>
      </w:r>
      <w:r w:rsidR="00A77555" w:rsidRPr="00A77555">
        <w:fldChar w:fldCharType="end"/>
      </w:r>
      <w:r w:rsidR="00A77555">
        <w:t>, below), and their balance (SB) is within normal limits throughout.</w:t>
      </w:r>
    </w:p>
    <w:p w14:paraId="5B408504" w14:textId="3E1F19E3" w:rsidR="0031413B" w:rsidRDefault="00B05CE0" w:rsidP="0031413B">
      <w:r>
        <w:t>With specific P&amp;S measures</w:t>
      </w:r>
      <w:r w:rsidR="00276EAA">
        <w:t>,</w:t>
      </w:r>
      <w:r>
        <w:t xml:space="preserve"> a history of the P&amp;S responses to </w:t>
      </w:r>
      <w:r w:rsidR="00B02411">
        <w:t>EDSh</w:t>
      </w:r>
      <w:r>
        <w:t xml:space="preserve"> </w:t>
      </w:r>
      <w:r w:rsidR="0031413B">
        <w:t xml:space="preserve">is possible and helps to frame an understanding of the effects of the disorder.  First, consider more common measures of the ANS.  </w:t>
      </w:r>
      <w:r w:rsidR="00B02411">
        <w:t>EDSh</w:t>
      </w:r>
      <w:r w:rsidR="0031413B">
        <w:t xml:space="preserve"> patients’ resting HRs (bpm) and BPs (mmHg, Systolic or SYS, and Diastolic or DIAS) are displayed in</w:t>
      </w:r>
      <w:r w:rsidR="008D4A2D">
        <w:t xml:space="preserve"> </w:t>
      </w:r>
      <w:r w:rsidR="008D4A2D" w:rsidRPr="008D4A2D">
        <w:fldChar w:fldCharType="begin"/>
      </w:r>
      <w:r w:rsidR="008D4A2D" w:rsidRPr="008D4A2D">
        <w:instrText xml:space="preserve"> REF _Ref57703132 \h  \* MERGEFORMAT </w:instrText>
      </w:r>
      <w:r w:rsidR="008D4A2D" w:rsidRPr="008D4A2D">
        <w:fldChar w:fldCharType="separate"/>
      </w:r>
      <w:r w:rsidR="00B71636" w:rsidRPr="00B71636">
        <w:t xml:space="preserve">Figure </w:t>
      </w:r>
      <w:r w:rsidR="00B71636" w:rsidRPr="00B71636">
        <w:rPr>
          <w:noProof/>
        </w:rPr>
        <w:t>2</w:t>
      </w:r>
      <w:r w:rsidR="008D4A2D" w:rsidRPr="008D4A2D">
        <w:fldChar w:fldCharType="end"/>
      </w:r>
      <w:r w:rsidR="0031413B">
        <w:t xml:space="preserve">, plotted against age (in years).  On average, both </w:t>
      </w:r>
      <w:r w:rsidR="0045463B">
        <w:t xml:space="preserve">HR and BP </w:t>
      </w:r>
      <w:r w:rsidR="0031413B">
        <w:t>measures are within normal limits throughout the history of the disease.  This contributes to the perceived, apparent normalcy of these patients.  Many of these patients are often not believed by their physicians</w:t>
      </w:r>
      <w:r w:rsidR="0045463B">
        <w:t xml:space="preserve"> because all of the (resting) office measures are within normal limits</w:t>
      </w:r>
      <w:r w:rsidR="0031413B">
        <w:t xml:space="preserve">.  Unfortunately, </w:t>
      </w:r>
      <w:r w:rsidR="00B02411">
        <w:t>EDSh</w:t>
      </w:r>
      <w:r w:rsidR="0031413B">
        <w:t xml:space="preserve"> is one of the diseases or disorders (like Fatigue or Anxiety) that do </w:t>
      </w:r>
    </w:p>
    <w:p w14:paraId="3F16424D" w14:textId="2B734537" w:rsidR="00032498" w:rsidRDefault="00032498" w:rsidP="0031413B">
      <w:r>
        <w:rPr>
          <w:noProof/>
        </w:rPr>
        <w:lastRenderedPageBreak/>
        <w:drawing>
          <wp:inline distT="0" distB="0" distL="0" distR="0" wp14:anchorId="43F9C83F" wp14:editId="423402BE">
            <wp:extent cx="2743200" cy="2732484"/>
            <wp:effectExtent l="0" t="0" r="0"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454605" w14:textId="115125DF" w:rsidR="00032498" w:rsidRPr="004822A8" w:rsidRDefault="00032498" w:rsidP="00032498">
      <w:pPr>
        <w:pStyle w:val="Caption"/>
        <w:rPr>
          <w:rFonts w:cs="Times New Roman"/>
          <w:b w:val="0"/>
          <w:noProof/>
          <w:color w:val="auto"/>
          <w:sz w:val="24"/>
          <w:szCs w:val="24"/>
        </w:rPr>
      </w:pPr>
      <w:bookmarkStart w:id="7" w:name="_Ref57708935"/>
      <w:r w:rsidRPr="004822A8">
        <w:rPr>
          <w:rFonts w:ascii="Times New Roman Bold" w:hAnsi="Times New Roman Bold"/>
          <w:color w:val="auto"/>
          <w:sz w:val="24"/>
        </w:rPr>
        <w:t xml:space="preserve">Figure </w:t>
      </w:r>
      <w:r w:rsidRPr="004822A8">
        <w:rPr>
          <w:rFonts w:ascii="Times New Roman Bold" w:hAnsi="Times New Roman Bold"/>
          <w:color w:val="auto"/>
          <w:sz w:val="24"/>
        </w:rPr>
        <w:fldChar w:fldCharType="begin"/>
      </w:r>
      <w:r w:rsidRPr="004822A8">
        <w:rPr>
          <w:rFonts w:ascii="Times New Roman Bold" w:hAnsi="Times New Roman Bold"/>
          <w:color w:val="auto"/>
          <w:sz w:val="24"/>
        </w:rPr>
        <w:instrText xml:space="preserve"> SEQ Figure \* ARABIC </w:instrText>
      </w:r>
      <w:r w:rsidRPr="004822A8">
        <w:rPr>
          <w:rFonts w:ascii="Times New Roman Bold" w:hAnsi="Times New Roman Bold"/>
          <w:color w:val="auto"/>
          <w:sz w:val="24"/>
        </w:rPr>
        <w:fldChar w:fldCharType="separate"/>
      </w:r>
      <w:r>
        <w:rPr>
          <w:rFonts w:ascii="Times New Roman Bold" w:hAnsi="Times New Roman Bold"/>
          <w:noProof/>
          <w:color w:val="auto"/>
          <w:sz w:val="24"/>
        </w:rPr>
        <w:t>1</w:t>
      </w:r>
      <w:r w:rsidRPr="004822A8">
        <w:rPr>
          <w:rFonts w:ascii="Times New Roman Bold" w:hAnsi="Times New Roman Bold"/>
          <w:color w:val="auto"/>
          <w:sz w:val="24"/>
        </w:rPr>
        <w:fldChar w:fldCharType="end"/>
      </w:r>
      <w:bookmarkEnd w:id="7"/>
      <w:r w:rsidRPr="004822A8">
        <w:rPr>
          <w:b w:val="0"/>
          <w:color w:val="auto"/>
          <w:sz w:val="24"/>
        </w:rPr>
        <w:t xml:space="preserve">:  </w:t>
      </w:r>
      <w:r>
        <w:rPr>
          <w:b w:val="0"/>
          <w:color w:val="auto"/>
          <w:sz w:val="24"/>
        </w:rPr>
        <w:t>Resting P&amp;S measures from this EDSh cohort (solid blue and red lines, respectively) compared with normal, age-matched subjects (broken blue and red lines, respectively) compared over time</w:t>
      </w:r>
      <w:r w:rsidR="005C0C67">
        <w:rPr>
          <w:b w:val="0"/>
          <w:color w:val="auto"/>
          <w:sz w:val="24"/>
        </w:rPr>
        <w:t xml:space="preserve"> (black lines represent SB)</w:t>
      </w:r>
      <w:r>
        <w:rPr>
          <w:b w:val="0"/>
          <w:color w:val="auto"/>
          <w:sz w:val="24"/>
        </w:rPr>
        <w:t>.  The dotted black line at 1.0 represents CAN (see text for details).</w:t>
      </w:r>
    </w:p>
    <w:p w14:paraId="6D27FB19" w14:textId="4A30E943" w:rsidR="00032498" w:rsidRDefault="00032498" w:rsidP="0031413B"/>
    <w:p w14:paraId="51719A56" w14:textId="0E3ABDC5" w:rsidR="005C0C67" w:rsidRDefault="005C0C67" w:rsidP="0031413B">
      <w:r>
        <w:t>not present as abnormal at rest.  Rather, the associated dysautonomias are manifested while active (which is the usual condition of the ANS; it rarely rests, as one branch or the other is always active).</w:t>
      </w:r>
    </w:p>
    <w:p w14:paraId="0FA4632E" w14:textId="36F1B57F" w:rsidR="00436E26" w:rsidRDefault="000375E9" w:rsidP="0031413B">
      <w:r>
        <w:t xml:space="preserve">HRV measures </w:t>
      </w:r>
      <w:r w:rsidR="00B034AB">
        <w:t xml:space="preserve">include </w:t>
      </w:r>
      <w:r>
        <w:t xml:space="preserve">the normalized spectral analysis measures:  </w:t>
      </w:r>
      <w:proofErr w:type="spellStart"/>
      <w:r>
        <w:t>LFnu</w:t>
      </w:r>
      <w:proofErr w:type="spellEnd"/>
      <w:r>
        <w:t xml:space="preserve">, </w:t>
      </w:r>
      <w:proofErr w:type="spellStart"/>
      <w:r>
        <w:t>HFnu</w:t>
      </w:r>
      <w:proofErr w:type="spellEnd"/>
      <w:r>
        <w:t xml:space="preserve">, and LF/HF.  These are commonly measured at rest (Bx1).  </w:t>
      </w:r>
      <w:proofErr w:type="spellStart"/>
      <w:r>
        <w:t>LFnu</w:t>
      </w:r>
      <w:proofErr w:type="spellEnd"/>
      <w:r>
        <w:t xml:space="preserve"> is assumed to be a measure of Sympathetic activity, when in actuality</w:t>
      </w:r>
      <w:r w:rsidR="00276EAA">
        <w:t>,</w:t>
      </w:r>
      <w:r>
        <w:t xml:space="preserve"> it is a mixed P&amp;S measure.  </w:t>
      </w:r>
      <w:proofErr w:type="spellStart"/>
      <w:r>
        <w:t>HFnu</w:t>
      </w:r>
      <w:proofErr w:type="spellEnd"/>
      <w:r>
        <w:t xml:space="preserve"> is assumed to be a measure of Parasympathetic activity, when in actuality</w:t>
      </w:r>
      <w:r w:rsidR="00276EAA">
        <w:t>,</w:t>
      </w:r>
      <w:r>
        <w:t xml:space="preserve"> it is a measure of noise (signal</w:t>
      </w:r>
      <w:r w:rsidR="00115AB7">
        <w:t>s not f</w:t>
      </w:r>
      <w:r>
        <w:t>r</w:t>
      </w:r>
      <w:r w:rsidR="00115AB7">
        <w:t>o</w:t>
      </w:r>
      <w:r>
        <w:t>m the ANS) with Parasympathetic activity sometimes included if the breathing frequency is high enough.  The LF/HF ratio is considered to be a measure of autonomic balance.  On average, all of these measures are also normal throughout the years</w:t>
      </w:r>
      <w:r w:rsidR="0026088B">
        <w:t xml:space="preserve"> (</w:t>
      </w:r>
      <w:r w:rsidR="0026088B">
        <w:fldChar w:fldCharType="begin"/>
      </w:r>
      <w:r w:rsidR="0026088B">
        <w:instrText xml:space="preserve"> REF _Ref57790648 \h </w:instrText>
      </w:r>
      <w:r w:rsidR="0026088B">
        <w:fldChar w:fldCharType="separate"/>
      </w:r>
      <w:r w:rsidR="0026088B" w:rsidRPr="00C72EA1">
        <w:t xml:space="preserve">Figure </w:t>
      </w:r>
      <w:r w:rsidR="0026088B">
        <w:rPr>
          <w:noProof/>
        </w:rPr>
        <w:t>2</w:t>
      </w:r>
      <w:r w:rsidR="0026088B">
        <w:fldChar w:fldCharType="end"/>
      </w:r>
      <w:r w:rsidR="0026088B">
        <w:t>)</w:t>
      </w:r>
      <w:r>
        <w:t>.  For these spectral HRV measures, the</w:t>
      </w:r>
      <w:r w:rsidR="00436E26">
        <w:t xml:space="preserve"> </w:t>
      </w:r>
      <w:r w:rsidR="00436E26">
        <w:br w:type="column"/>
      </w:r>
      <w:r w:rsidR="00436E26">
        <w:rPr>
          <w:noProof/>
        </w:rPr>
        <w:drawing>
          <wp:inline distT="0" distB="0" distL="0" distR="0" wp14:anchorId="71CC9317" wp14:editId="09926C82">
            <wp:extent cx="2743200" cy="2440940"/>
            <wp:effectExtent l="0" t="0" r="0" b="16510"/>
            <wp:docPr id="6" name="Chart 6">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74FF45" w14:textId="77777777" w:rsidR="00436E26" w:rsidRPr="00C7699C" w:rsidRDefault="00436E26" w:rsidP="00436E26">
      <w:pPr>
        <w:pStyle w:val="Caption"/>
        <w:rPr>
          <w:b w:val="0"/>
          <w:noProof/>
          <w:color w:val="auto"/>
          <w:sz w:val="24"/>
        </w:rPr>
      </w:pPr>
      <w:bookmarkStart w:id="8" w:name="_Ref57703132"/>
      <w:r w:rsidRPr="008D4A2D">
        <w:rPr>
          <w:rFonts w:ascii="Times New Roman Bold" w:hAnsi="Times New Roman Bold"/>
          <w:color w:val="auto"/>
          <w:sz w:val="24"/>
        </w:rPr>
        <w:t xml:space="preserve">Figure </w:t>
      </w:r>
      <w:r w:rsidRPr="008D4A2D">
        <w:rPr>
          <w:rFonts w:ascii="Times New Roman Bold" w:hAnsi="Times New Roman Bold"/>
          <w:color w:val="auto"/>
          <w:sz w:val="24"/>
        </w:rPr>
        <w:fldChar w:fldCharType="begin"/>
      </w:r>
      <w:r w:rsidRPr="008D4A2D">
        <w:rPr>
          <w:rFonts w:ascii="Times New Roman Bold" w:hAnsi="Times New Roman Bold"/>
          <w:color w:val="auto"/>
          <w:sz w:val="24"/>
        </w:rPr>
        <w:instrText xml:space="preserve"> SEQ Figure \* ARABIC </w:instrText>
      </w:r>
      <w:r w:rsidRPr="008D4A2D">
        <w:rPr>
          <w:rFonts w:ascii="Times New Roman Bold" w:hAnsi="Times New Roman Bold"/>
          <w:color w:val="auto"/>
          <w:sz w:val="24"/>
        </w:rPr>
        <w:fldChar w:fldCharType="separate"/>
      </w:r>
      <w:r>
        <w:rPr>
          <w:rFonts w:ascii="Times New Roman Bold" w:hAnsi="Times New Roman Bold"/>
          <w:noProof/>
          <w:color w:val="auto"/>
          <w:sz w:val="24"/>
        </w:rPr>
        <w:t>2</w:t>
      </w:r>
      <w:r w:rsidRPr="008D4A2D">
        <w:rPr>
          <w:rFonts w:ascii="Times New Roman Bold" w:hAnsi="Times New Roman Bold"/>
          <w:color w:val="auto"/>
          <w:sz w:val="24"/>
        </w:rPr>
        <w:fldChar w:fldCharType="end"/>
      </w:r>
      <w:bookmarkEnd w:id="8"/>
      <w:r w:rsidRPr="00C7699C">
        <w:rPr>
          <w:b w:val="0"/>
          <w:color w:val="auto"/>
          <w:sz w:val="24"/>
        </w:rPr>
        <w:t xml:space="preserve">:  </w:t>
      </w:r>
      <w:r>
        <w:rPr>
          <w:b w:val="0"/>
          <w:color w:val="auto"/>
          <w:sz w:val="24"/>
        </w:rPr>
        <w:t>HR and BP are often considered as measures of Sympathetic activity; however, they are the net result of the activity of both autonomic branches.</w:t>
      </w:r>
    </w:p>
    <w:p w14:paraId="5B7ADB27" w14:textId="77777777" w:rsidR="00436E26" w:rsidRDefault="00436E26" w:rsidP="0031413B"/>
    <w:p w14:paraId="553BCBA2" w14:textId="133647D4" w:rsidR="00C72EA1" w:rsidRDefault="000375E9" w:rsidP="0031413B">
      <w:r>
        <w:t>apparent normalcy is due to the fact that they are mixed measures and as long as the balance is within normal limits (as measured by the LF/HF ratio)</w:t>
      </w:r>
      <w:r w:rsidR="00276EAA">
        <w:t>,</w:t>
      </w:r>
      <w:r>
        <w:t xml:space="preserve"> the two ANS branches average out to be normal.</w:t>
      </w:r>
    </w:p>
    <w:p w14:paraId="55EE2B8D" w14:textId="77777777" w:rsidR="00436E26" w:rsidRDefault="00B02411" w:rsidP="00FC383A">
      <w:r>
        <w:t>EDSh</w:t>
      </w:r>
      <w:r w:rsidR="004822A8">
        <w:t xml:space="preserve"> patients</w:t>
      </w:r>
      <w:r w:rsidR="005947A6">
        <w:t>’</w:t>
      </w:r>
      <w:r w:rsidR="004822A8">
        <w:t xml:space="preserve"> </w:t>
      </w:r>
      <w:r w:rsidR="007174B0">
        <w:t xml:space="preserve">resting </w:t>
      </w:r>
      <w:r w:rsidR="005947A6">
        <w:t>P&amp;S data are</w:t>
      </w:r>
      <w:r w:rsidR="004822A8">
        <w:t xml:space="preserve"> displayed in </w:t>
      </w:r>
      <w:r w:rsidR="005947A6" w:rsidRPr="005947A6">
        <w:fldChar w:fldCharType="begin"/>
      </w:r>
      <w:r w:rsidR="005947A6" w:rsidRPr="005947A6">
        <w:instrText xml:space="preserve"> REF _Ref57708935 \h  \* MERGEFORMAT </w:instrText>
      </w:r>
      <w:r w:rsidR="005947A6" w:rsidRPr="005947A6">
        <w:fldChar w:fldCharType="separate"/>
      </w:r>
      <w:r w:rsidR="0026088B" w:rsidRPr="0026088B">
        <w:t xml:space="preserve">Figure </w:t>
      </w:r>
      <w:r w:rsidR="0026088B" w:rsidRPr="0026088B">
        <w:rPr>
          <w:noProof/>
        </w:rPr>
        <w:t>3</w:t>
      </w:r>
      <w:r w:rsidR="005947A6" w:rsidRPr="005947A6">
        <w:fldChar w:fldCharType="end"/>
      </w:r>
      <w:r w:rsidR="004822A8">
        <w:t>.  For comparison, the P&amp;S history of 302 normal</w:t>
      </w:r>
      <w:r w:rsidR="00FF7ED0">
        <w:t>, age-matched</w:t>
      </w:r>
      <w:r w:rsidR="004822A8">
        <w:t xml:space="preserve"> subjects (</w:t>
      </w:r>
      <w:proofErr w:type="spellStart"/>
      <w:r w:rsidR="005947A6">
        <w:t>Nml</w:t>
      </w:r>
      <w:proofErr w:type="spellEnd"/>
      <w:r w:rsidR="005947A6">
        <w:t xml:space="preserve">, </w:t>
      </w:r>
      <w:r w:rsidR="00FC383A">
        <w:t>55.6% Female) are included</w:t>
      </w:r>
      <w:r w:rsidR="00115AB7">
        <w:t>.  Normal is defined as not under physician care and not on any prescription medications</w:t>
      </w:r>
      <w:r w:rsidR="00FC383A">
        <w:t xml:space="preserve">.  </w:t>
      </w:r>
      <w:r w:rsidR="00441A78">
        <w:t>On average, y</w:t>
      </w:r>
      <w:r w:rsidR="00FC383A">
        <w:t xml:space="preserve">ounger </w:t>
      </w:r>
      <w:r>
        <w:t>EDSh</w:t>
      </w:r>
      <w:r w:rsidR="00FC383A">
        <w:t xml:space="preserve"> patients’ P&amp;S activity </w:t>
      </w:r>
      <w:r w:rsidR="00115AB7">
        <w:t xml:space="preserve">is </w:t>
      </w:r>
      <w:r w:rsidR="00FC383A">
        <w:t xml:space="preserve">high-normal </w:t>
      </w:r>
      <w:r w:rsidR="00441A78">
        <w:t>compared with Normals.  Eventual</w:t>
      </w:r>
      <w:r w:rsidR="00FC383A">
        <w:t xml:space="preserve">ly, the </w:t>
      </w:r>
      <w:r>
        <w:t>EDSh</w:t>
      </w:r>
      <w:r w:rsidR="00FC383A">
        <w:t xml:space="preserve"> patients’ resting P&amp;S activity normalizes, as compared with the Normal subjects’ resting P&amp;S activity.  Note, however, the Normals’ resting P-activity is higher or virtually equal to their resting S-activity; whereas, the </w:t>
      </w:r>
      <w:r>
        <w:t>EDSh</w:t>
      </w:r>
      <w:r w:rsidR="00FC383A">
        <w:t xml:space="preserve"> patients’ resting P-activity is lower than their resting S-activity, indicating a higher morbidity risk</w:t>
      </w:r>
      <w:r w:rsidR="00276EAA">
        <w:t>,</w:t>
      </w:r>
      <w:r w:rsidR="00FC383A">
        <w:t xml:space="preserve"> </w:t>
      </w:r>
      <w:r w:rsidR="00FC6154">
        <w:t xml:space="preserve">a </w:t>
      </w:r>
      <w:r w:rsidR="00FC383A">
        <w:t>complimentary reduced quality of life, and ultim</w:t>
      </w:r>
      <w:r w:rsidR="007174B0">
        <w:t>ately a higher mortality risk.</w:t>
      </w:r>
      <w:r w:rsidR="00D01836">
        <w:t xml:space="preserve">  On average, </w:t>
      </w:r>
      <w:r>
        <w:t>EDSh</w:t>
      </w:r>
      <w:r w:rsidR="00FC383A">
        <w:t xml:space="preserve"> </w:t>
      </w:r>
      <w:r w:rsidR="00D01836">
        <w:t xml:space="preserve">patients </w:t>
      </w:r>
      <w:r w:rsidR="00FC6154">
        <w:t xml:space="preserve">cross the CAN threshold up to 20 years earlier than </w:t>
      </w:r>
    </w:p>
    <w:p w14:paraId="673F68C3" w14:textId="6AC176F7" w:rsidR="00436E26" w:rsidRDefault="00E9480F" w:rsidP="00FC383A">
      <w:r>
        <w:rPr>
          <w:noProof/>
        </w:rPr>
        <w:lastRenderedPageBreak/>
        <w:drawing>
          <wp:inline distT="0" distB="0" distL="0" distR="0" wp14:anchorId="1AFDD6B2" wp14:editId="4DC4AED4">
            <wp:extent cx="2743200" cy="2432669"/>
            <wp:effectExtent l="0" t="0" r="0" b="6350"/>
            <wp:docPr id="1" name="Chart 1">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8E56A3" w14:textId="77777777" w:rsidR="00E9480F" w:rsidRPr="00C72EA1" w:rsidRDefault="00E9480F" w:rsidP="00E9480F">
      <w:pPr>
        <w:pStyle w:val="Caption"/>
        <w:rPr>
          <w:b w:val="0"/>
          <w:noProof/>
          <w:color w:val="auto"/>
          <w:sz w:val="24"/>
        </w:rPr>
      </w:pPr>
      <w:bookmarkStart w:id="9" w:name="_Ref57790648"/>
      <w:r w:rsidRPr="00C72EA1">
        <w:rPr>
          <w:color w:val="auto"/>
          <w:sz w:val="24"/>
        </w:rPr>
        <w:t xml:space="preserve">Figure </w:t>
      </w:r>
      <w:r w:rsidRPr="00C72EA1">
        <w:rPr>
          <w:color w:val="auto"/>
          <w:sz w:val="24"/>
        </w:rPr>
        <w:fldChar w:fldCharType="begin"/>
      </w:r>
      <w:r w:rsidRPr="00C72EA1">
        <w:rPr>
          <w:color w:val="auto"/>
          <w:sz w:val="24"/>
        </w:rPr>
        <w:instrText xml:space="preserve"> SEQ Figure \* ARABIC </w:instrText>
      </w:r>
      <w:r w:rsidRPr="00C72EA1">
        <w:rPr>
          <w:color w:val="auto"/>
          <w:sz w:val="24"/>
        </w:rPr>
        <w:fldChar w:fldCharType="separate"/>
      </w:r>
      <w:r>
        <w:rPr>
          <w:noProof/>
          <w:color w:val="auto"/>
          <w:sz w:val="24"/>
        </w:rPr>
        <w:t>3</w:t>
      </w:r>
      <w:r w:rsidRPr="00C72EA1">
        <w:rPr>
          <w:color w:val="auto"/>
          <w:sz w:val="24"/>
        </w:rPr>
        <w:fldChar w:fldCharType="end"/>
      </w:r>
      <w:bookmarkEnd w:id="9"/>
      <w:r w:rsidRPr="00C72EA1">
        <w:rPr>
          <w:b w:val="0"/>
          <w:color w:val="auto"/>
          <w:sz w:val="24"/>
        </w:rPr>
        <w:t xml:space="preserve">:  </w:t>
      </w:r>
      <w:r>
        <w:rPr>
          <w:b w:val="0"/>
          <w:color w:val="auto"/>
          <w:sz w:val="24"/>
        </w:rPr>
        <w:t xml:space="preserve">Normalized, resting spectral measures of HRV from this EDSh cohort are presented.  </w:t>
      </w:r>
      <w:proofErr w:type="spellStart"/>
      <w:r>
        <w:rPr>
          <w:b w:val="0"/>
          <w:color w:val="auto"/>
          <w:sz w:val="24"/>
        </w:rPr>
        <w:t>LFnu</w:t>
      </w:r>
      <w:proofErr w:type="spellEnd"/>
      <w:r>
        <w:rPr>
          <w:b w:val="0"/>
          <w:color w:val="auto"/>
          <w:sz w:val="24"/>
        </w:rPr>
        <w:t xml:space="preserve"> is the normalized low frequency measure often assumed to be the Sympathetic measure.  </w:t>
      </w:r>
      <w:proofErr w:type="spellStart"/>
      <w:r>
        <w:rPr>
          <w:b w:val="0"/>
          <w:color w:val="auto"/>
          <w:sz w:val="24"/>
        </w:rPr>
        <w:t>HFnu</w:t>
      </w:r>
      <w:proofErr w:type="spellEnd"/>
      <w:r>
        <w:rPr>
          <w:b w:val="0"/>
          <w:color w:val="auto"/>
          <w:sz w:val="24"/>
        </w:rPr>
        <w:t xml:space="preserve"> is the normalized high frequency measure often assumed to be the Parasympathetic measure.  LF/HF ratio is sometimes considered a measure of autonomic balance.  On average throughout this cohort, the normalized spectral analysis measures of autonomic activity are normal.</w:t>
      </w:r>
    </w:p>
    <w:p w14:paraId="35550137" w14:textId="77777777" w:rsidR="00436E26" w:rsidRDefault="00436E26" w:rsidP="00FC383A"/>
    <w:p w14:paraId="71FFF63E" w14:textId="06A2F9C7" w:rsidR="008D1D1B" w:rsidRDefault="00FC6154" w:rsidP="00FC383A">
      <w:r>
        <w:t>Normals</w:t>
      </w:r>
      <w:r w:rsidR="00D01836">
        <w:t>.  CAN indicates higher morbidity and mortality risk</w:t>
      </w:r>
      <w:r w:rsidR="00FC383A">
        <w:t>.</w:t>
      </w:r>
      <w:r w:rsidR="00173206">
        <w:t xml:space="preserve">  </w:t>
      </w:r>
      <w:r w:rsidR="00D01836">
        <w:t xml:space="preserve">In their </w:t>
      </w:r>
      <w:proofErr w:type="spellStart"/>
      <w:r w:rsidR="00D01836">
        <w:t>latter</w:t>
      </w:r>
      <w:proofErr w:type="spellEnd"/>
      <w:r w:rsidR="00D01836">
        <w:t xml:space="preserve"> years, </w:t>
      </w:r>
      <w:proofErr w:type="spellStart"/>
      <w:r w:rsidR="00B02411">
        <w:t>EDSh</w:t>
      </w:r>
      <w:proofErr w:type="spellEnd"/>
      <w:r w:rsidR="00D01836">
        <w:t xml:space="preserve"> patients’ SB is significantly elevated as compared with Normals</w:t>
      </w:r>
      <w:r w:rsidR="00886BD3">
        <w:t>.</w:t>
      </w:r>
      <w:r w:rsidR="00D01836">
        <w:t xml:space="preserve">  </w:t>
      </w:r>
      <w:r w:rsidR="008D1D1B">
        <w:t>With va</w:t>
      </w:r>
      <w:r w:rsidR="00B02411">
        <w:t>sc</w:t>
      </w:r>
      <w:r w:rsidR="008D1D1B">
        <w:t xml:space="preserve">ular </w:t>
      </w:r>
      <w:r w:rsidR="00B02411">
        <w:t>EDSh</w:t>
      </w:r>
      <w:r w:rsidR="008D1D1B">
        <w:t xml:space="preserve"> excluded, the presence of only 3 </w:t>
      </w:r>
      <w:r w:rsidR="00B02411">
        <w:t>EDSh</w:t>
      </w:r>
      <w:r w:rsidR="008D1D1B">
        <w:t xml:space="preserve"> patients demonstrating CAN </w:t>
      </w:r>
      <w:r w:rsidR="00DA1C11">
        <w:t xml:space="preserve">(see </w:t>
      </w:r>
      <w:r w:rsidR="00DA1C11" w:rsidRPr="00DA1C11">
        <w:fldChar w:fldCharType="begin"/>
      </w:r>
      <w:r w:rsidR="00DA1C11" w:rsidRPr="00DA1C11">
        <w:instrText xml:space="preserve"> REF _Ref62120150 \h  \* MERGEFORMAT </w:instrText>
      </w:r>
      <w:r w:rsidR="00DA1C11" w:rsidRPr="00DA1C11">
        <w:fldChar w:fldCharType="separate"/>
      </w:r>
      <w:r w:rsidR="00DA1C11" w:rsidRPr="00DA1C11">
        <w:t xml:space="preserve">Table </w:t>
      </w:r>
      <w:r w:rsidR="00DA1C11" w:rsidRPr="00DA1C11">
        <w:rPr>
          <w:noProof/>
        </w:rPr>
        <w:t>2</w:t>
      </w:r>
      <w:r w:rsidR="00DA1C11" w:rsidRPr="00DA1C11">
        <w:fldChar w:fldCharType="end"/>
      </w:r>
      <w:r w:rsidR="00DA1C11">
        <w:t xml:space="preserve">) </w:t>
      </w:r>
      <w:r w:rsidR="008D1D1B">
        <w:t xml:space="preserve">supports the point that the vast majority of </w:t>
      </w:r>
      <w:r w:rsidR="00B02411">
        <w:t>EDSh</w:t>
      </w:r>
      <w:r w:rsidR="008D1D1B">
        <w:t xml:space="preserve"> is not lethal.  </w:t>
      </w:r>
      <w:r w:rsidR="007174B0">
        <w:t xml:space="preserve">The more common form of resting autonomic dysfunction </w:t>
      </w:r>
      <w:r w:rsidR="008D1D1B">
        <w:t xml:space="preserve">is Advanced Autonomic Dysfunction </w:t>
      </w:r>
      <w:r w:rsidR="007174B0">
        <w:t>(AAD)</w:t>
      </w:r>
      <w:r w:rsidR="00DA1C11">
        <w:t xml:space="preserve">.  Of the </w:t>
      </w:r>
      <w:r w:rsidR="00B02411">
        <w:t>EDSh</w:t>
      </w:r>
      <w:r w:rsidR="00DA1C11">
        <w:t xml:space="preserve"> population, 14.4% demonstrated AAD (see </w:t>
      </w:r>
      <w:r w:rsidR="00DA1C11" w:rsidRPr="00DA1C11">
        <w:fldChar w:fldCharType="begin"/>
      </w:r>
      <w:r w:rsidR="00DA1C11" w:rsidRPr="00DA1C11">
        <w:instrText xml:space="preserve"> REF _Ref62120150 \h  \* MERGEFORMAT </w:instrText>
      </w:r>
      <w:r w:rsidR="00DA1C11" w:rsidRPr="00DA1C11">
        <w:fldChar w:fldCharType="separate"/>
      </w:r>
      <w:r w:rsidR="00DA1C11" w:rsidRPr="00DA1C11">
        <w:t xml:space="preserve">Table </w:t>
      </w:r>
      <w:r w:rsidR="00DA1C11" w:rsidRPr="00DA1C11">
        <w:rPr>
          <w:noProof/>
        </w:rPr>
        <w:t>2</w:t>
      </w:r>
      <w:r w:rsidR="00DA1C11" w:rsidRPr="00DA1C11">
        <w:fldChar w:fldCharType="end"/>
      </w:r>
      <w:r w:rsidR="00DA1C11">
        <w:t>)</w:t>
      </w:r>
      <w:r w:rsidR="008D1D1B">
        <w:t>.  AAD</w:t>
      </w:r>
      <w:r w:rsidR="007174B0">
        <w:t xml:space="preserve"> is demonstrated throughout the ages, but mostly in older patients (</w:t>
      </w:r>
      <w:r w:rsidR="007174B0">
        <w:rPr>
          <w:rFonts w:cs="Times New Roman"/>
        </w:rPr>
        <w:t>≥</w:t>
      </w:r>
      <w:r w:rsidR="007174B0">
        <w:t xml:space="preserve"> 50 y/o, </w:t>
      </w:r>
      <w:r w:rsidR="007174B0" w:rsidRPr="007174B0">
        <w:fldChar w:fldCharType="begin"/>
      </w:r>
      <w:r w:rsidR="007174B0" w:rsidRPr="007174B0">
        <w:instrText xml:space="preserve"> REF _Ref62119218 \h  \* MERGEFORMAT </w:instrText>
      </w:r>
      <w:r w:rsidR="007174B0" w:rsidRPr="007174B0">
        <w:fldChar w:fldCharType="separate"/>
      </w:r>
      <w:r w:rsidR="007174B0" w:rsidRPr="007174B0">
        <w:t xml:space="preserve">Table </w:t>
      </w:r>
      <w:r w:rsidR="007174B0" w:rsidRPr="007174B0">
        <w:rPr>
          <w:noProof/>
        </w:rPr>
        <w:t>2</w:t>
      </w:r>
      <w:r w:rsidR="007174B0" w:rsidRPr="007174B0">
        <w:fldChar w:fldCharType="end"/>
      </w:r>
      <w:r w:rsidR="007174B0">
        <w:t>).  Again, this further demonstrates the general consensus that</w:t>
      </w:r>
      <w:r w:rsidR="008D1D1B">
        <w:t xml:space="preserve"> </w:t>
      </w:r>
      <w:r w:rsidR="00B02411">
        <w:t>EDSh</w:t>
      </w:r>
      <w:r w:rsidR="008D1D1B">
        <w:t xml:space="preserve"> is not life-threatening.</w:t>
      </w:r>
    </w:p>
    <w:p w14:paraId="0396940D" w14:textId="252FCF17" w:rsidR="00173206" w:rsidRDefault="007174B0" w:rsidP="00FC383A">
      <w:r>
        <w:t xml:space="preserve">Since the P&amp;S nervous systems are dynamic in nature, we consider the two most prevalent, dynamic P&amp;S dysfunctions:  </w:t>
      </w:r>
      <w:r w:rsidR="00CA4F0E">
        <w:t>Sympathetic Withdraw (</w:t>
      </w:r>
      <w:r>
        <w:t>SW</w:t>
      </w:r>
      <w:r w:rsidR="00CA4F0E">
        <w:t>)</w:t>
      </w:r>
      <w:r>
        <w:t xml:space="preserve"> &amp; </w:t>
      </w:r>
      <w:r w:rsidR="00CA4F0E">
        <w:t>Parasympathetic Excess (</w:t>
      </w:r>
      <w:r>
        <w:t>PE</w:t>
      </w:r>
      <w:r w:rsidR="00CA4F0E">
        <w:t>)</w:t>
      </w:r>
      <w:r w:rsidR="00BD46D8">
        <w:t xml:space="preserve"> (see </w:t>
      </w:r>
      <w:r w:rsidR="00BD46D8" w:rsidRPr="00DA1C11">
        <w:fldChar w:fldCharType="begin"/>
      </w:r>
      <w:r w:rsidR="00BD46D8" w:rsidRPr="00DA1C11">
        <w:instrText xml:space="preserve"> REF _Ref62120150 \h  \* MERGEFORMAT </w:instrText>
      </w:r>
      <w:r w:rsidR="00BD46D8" w:rsidRPr="00DA1C11">
        <w:fldChar w:fldCharType="separate"/>
      </w:r>
      <w:r w:rsidR="00BD46D8" w:rsidRPr="00DA1C11">
        <w:t xml:space="preserve">Table </w:t>
      </w:r>
      <w:r w:rsidR="00BD46D8" w:rsidRPr="00DA1C11">
        <w:rPr>
          <w:noProof/>
        </w:rPr>
        <w:t>2</w:t>
      </w:r>
      <w:r w:rsidR="00BD46D8" w:rsidRPr="00DA1C11">
        <w:fldChar w:fldCharType="end"/>
      </w:r>
      <w:r w:rsidR="00BD46D8">
        <w:t>)</w:t>
      </w:r>
      <w:r>
        <w:t xml:space="preserve">.  </w:t>
      </w:r>
      <w:r w:rsidR="00DA1C11">
        <w:t xml:space="preserve">Of the </w:t>
      </w:r>
      <w:r w:rsidR="00B02411">
        <w:t>EDSh</w:t>
      </w:r>
      <w:r w:rsidR="00DA1C11">
        <w:t xml:space="preserve"> population, 49.4% demonstrated SW and 54.3% demonstrated PE.  </w:t>
      </w:r>
      <w:r>
        <w:t>Along with AAD &amp; CAN, both SW &amp; PE may be involved in high BP and Hypertension (HTN).  SW contributes to</w:t>
      </w:r>
      <w:r w:rsidR="00A06A2E">
        <w:t xml:space="preserve"> all types of Orthostatic dysfunction, including </w:t>
      </w:r>
      <w:r w:rsidRPr="00A06A2E">
        <w:t>Neurogenic Orthostatic Hypotension</w:t>
      </w:r>
      <w:r w:rsidR="002424A8">
        <w:t xml:space="preserve"> (</w:t>
      </w:r>
      <w:r w:rsidR="00CA4F0E">
        <w:t xml:space="preserve">NOH, </w:t>
      </w:r>
      <w:r w:rsidR="002424A8">
        <w:t>SW with a BP drop upon standing &gt; 20/10 mmHg)</w:t>
      </w:r>
      <w:r w:rsidR="00A06A2E">
        <w:t>, Orthostatic Intolerance</w:t>
      </w:r>
      <w:r w:rsidR="002424A8">
        <w:t xml:space="preserve"> (</w:t>
      </w:r>
      <w:r w:rsidR="00CA4F0E">
        <w:t xml:space="preserve">OI, </w:t>
      </w:r>
      <w:r w:rsidR="002424A8">
        <w:t>SW with a BP drop upon standing 0/0 mmHg &lt; BP &lt; 20/10 mmHg)</w:t>
      </w:r>
      <w:r w:rsidR="00A06A2E">
        <w:t xml:space="preserve">, </w:t>
      </w:r>
      <w:r w:rsidR="002359F3">
        <w:t xml:space="preserve">and </w:t>
      </w:r>
      <w:r w:rsidR="00CA4F0E">
        <w:t>Postural Orthostatic Tachycardia Syndrome (</w:t>
      </w:r>
      <w:r w:rsidR="002359F3">
        <w:t>POTS</w:t>
      </w:r>
      <w:r w:rsidR="00CA4F0E">
        <w:t>,</w:t>
      </w:r>
      <w:r w:rsidR="002424A8">
        <w:t xml:space="preserve"> SW with an abnormal increase in HR upon standing:  &gt; a 30 bpm change or &gt; 120 bpm average).  Also, SW is associated with </w:t>
      </w:r>
      <w:r w:rsidR="00A06A2E">
        <w:t>the</w:t>
      </w:r>
      <w:r>
        <w:t xml:space="preserve"> constellation of symptoms that result from cardiac and cerebral hypo-perfusion</w:t>
      </w:r>
      <w:r w:rsidR="00A06A2E">
        <w:t xml:space="preserve">.  </w:t>
      </w:r>
      <w:r w:rsidR="00173206">
        <w:t>PE contributes to Vasovagal Syncope (VVS) and a constellation of symptoms that result from cerebral hypo-perfusion</w:t>
      </w:r>
      <w:r>
        <w:t xml:space="preserve">.  </w:t>
      </w:r>
      <w:r w:rsidR="00A06A2E">
        <w:t>Not all Orthostatic dysfunction includes SW (</w:t>
      </w:r>
      <w:r w:rsidR="00A06A2E">
        <w:rPr>
          <w:i/>
        </w:rPr>
        <w:t>i.e.</w:t>
      </w:r>
      <w:r w:rsidR="00A06A2E">
        <w:t xml:space="preserve">, </w:t>
      </w:r>
      <w:r w:rsidR="002424A8">
        <w:t xml:space="preserve">others may be </w:t>
      </w:r>
      <w:r w:rsidR="00A06A2E">
        <w:t xml:space="preserve">due to venous valve or wall dysfunction or thromboses).  </w:t>
      </w:r>
      <w:r>
        <w:t xml:space="preserve">We </w:t>
      </w:r>
      <w:r w:rsidR="00A06A2E">
        <w:t xml:space="preserve">define </w:t>
      </w:r>
      <w:r w:rsidR="00A06A2E" w:rsidRPr="00A06A2E">
        <w:t xml:space="preserve">Orthostatic BP </w:t>
      </w:r>
      <w:r w:rsidR="002424A8">
        <w:t>D</w:t>
      </w:r>
      <w:r w:rsidR="00A06A2E" w:rsidRPr="00A06A2E">
        <w:t>ysfunction</w:t>
      </w:r>
      <w:r w:rsidR="002424A8">
        <w:t xml:space="preserve"> (OBPD)</w:t>
      </w:r>
      <w:r w:rsidR="00A06A2E">
        <w:t xml:space="preserve"> </w:t>
      </w:r>
      <w:r>
        <w:t xml:space="preserve">as </w:t>
      </w:r>
      <w:r w:rsidR="002424A8">
        <w:t xml:space="preserve">abnormal </w:t>
      </w:r>
      <w:r>
        <w:t xml:space="preserve">BP </w:t>
      </w:r>
      <w:r w:rsidR="002424A8">
        <w:t xml:space="preserve">responses to </w:t>
      </w:r>
      <w:r>
        <w:t>up</w:t>
      </w:r>
      <w:r w:rsidR="002424A8">
        <w:t>right postural change (including standing)</w:t>
      </w:r>
      <w:r>
        <w:t xml:space="preserve"> </w:t>
      </w:r>
      <w:r w:rsidR="00A06A2E">
        <w:t xml:space="preserve">with or </w:t>
      </w:r>
      <w:r>
        <w:t>without SW.</w:t>
      </w:r>
      <w:r w:rsidR="00DA1C11">
        <w:t xml:space="preserve">  Of the </w:t>
      </w:r>
      <w:r w:rsidR="00B02411">
        <w:t>EDSh</w:t>
      </w:r>
      <w:r w:rsidR="00DA1C11">
        <w:t xml:space="preserve"> population, 79.0% presented with</w:t>
      </w:r>
      <w:r w:rsidR="002359F3">
        <w:t xml:space="preserve"> </w:t>
      </w:r>
      <w:r w:rsidR="002424A8">
        <w:t>OBPD</w:t>
      </w:r>
      <w:r w:rsidR="00A06A2E">
        <w:t>, including 9.5% that present</w:t>
      </w:r>
      <w:r w:rsidR="00CA4F0E">
        <w:t>ed</w:t>
      </w:r>
      <w:r w:rsidR="00A06A2E">
        <w:t xml:space="preserve"> with clinical Orthostatic Hypotension</w:t>
      </w:r>
      <w:r w:rsidR="002424A8">
        <w:t xml:space="preserve"> (</w:t>
      </w:r>
      <w:r w:rsidR="00CA4F0E">
        <w:t xml:space="preserve">OH, </w:t>
      </w:r>
      <w:r w:rsidR="002424A8">
        <w:t>defined as a BP drop of 20/10 mmHg or more upon standing with or without SW)</w:t>
      </w:r>
      <w:r w:rsidR="00A06A2E">
        <w:t>,</w:t>
      </w:r>
      <w:r w:rsidR="00DA1C11">
        <w:t xml:space="preserve"> and </w:t>
      </w:r>
      <w:r w:rsidR="00B11349">
        <w:t>33.8</w:t>
      </w:r>
      <w:r w:rsidR="00DA1C11">
        <w:t xml:space="preserve">% demonstrated </w:t>
      </w:r>
      <w:r w:rsidR="00B11349">
        <w:t>VVS</w:t>
      </w:r>
      <w:r w:rsidR="00DA1C11">
        <w:t xml:space="preserve"> (see </w:t>
      </w:r>
      <w:r w:rsidR="00DA1C11" w:rsidRPr="00DA1C11">
        <w:fldChar w:fldCharType="begin"/>
      </w:r>
      <w:r w:rsidR="00DA1C11" w:rsidRPr="00DA1C11">
        <w:instrText xml:space="preserve"> REF _Ref62120150 \h  \* MERGEFORMAT </w:instrText>
      </w:r>
      <w:r w:rsidR="00DA1C11" w:rsidRPr="00DA1C11">
        <w:fldChar w:fldCharType="separate"/>
      </w:r>
      <w:r w:rsidR="00DA1C11" w:rsidRPr="00DA1C11">
        <w:t xml:space="preserve">Table </w:t>
      </w:r>
      <w:r w:rsidR="00DA1C11" w:rsidRPr="00DA1C11">
        <w:rPr>
          <w:noProof/>
        </w:rPr>
        <w:t>2</w:t>
      </w:r>
      <w:r w:rsidR="00DA1C11" w:rsidRPr="00DA1C11">
        <w:fldChar w:fldCharType="end"/>
      </w:r>
      <w:r w:rsidR="00DA1C11">
        <w:t xml:space="preserve">).  </w:t>
      </w:r>
    </w:p>
    <w:p w14:paraId="42BA5D03" w14:textId="2E2272E6" w:rsidR="00C812CF" w:rsidRDefault="00AD6244" w:rsidP="00FC383A">
      <w:r>
        <w:t xml:space="preserve"> </w:t>
      </w:r>
      <w:r w:rsidR="00E36967">
        <w:t>All patients with SW had either</w:t>
      </w:r>
      <w:r w:rsidR="00E90083">
        <w:t xml:space="preserve"> </w:t>
      </w:r>
      <w:r w:rsidR="002424A8">
        <w:t>OBPD</w:t>
      </w:r>
      <w:r w:rsidR="00B11349">
        <w:t xml:space="preserve"> or POTS</w:t>
      </w:r>
      <w:r w:rsidR="00E36967">
        <w:t xml:space="preserve">.  </w:t>
      </w:r>
      <w:r w:rsidR="00B11349">
        <w:t xml:space="preserve">Of the </w:t>
      </w:r>
      <w:r w:rsidR="00B02411">
        <w:t>EDSh</w:t>
      </w:r>
      <w:r w:rsidR="00B11349">
        <w:t xml:space="preserve"> population, 3.7% presented with POTS (see </w:t>
      </w:r>
      <w:r w:rsidR="00B11349" w:rsidRPr="00DA1C11">
        <w:fldChar w:fldCharType="begin"/>
      </w:r>
      <w:r w:rsidR="00B11349" w:rsidRPr="00DA1C11">
        <w:instrText xml:space="preserve"> REF _Ref62120150 \h  \* MERGEFORMAT </w:instrText>
      </w:r>
      <w:r w:rsidR="00B11349" w:rsidRPr="00DA1C11">
        <w:fldChar w:fldCharType="separate"/>
      </w:r>
      <w:r w:rsidR="00B11349" w:rsidRPr="00DA1C11">
        <w:t xml:space="preserve">Table </w:t>
      </w:r>
      <w:r w:rsidR="00B11349" w:rsidRPr="00DA1C11">
        <w:rPr>
          <w:noProof/>
        </w:rPr>
        <w:t>2</w:t>
      </w:r>
      <w:r w:rsidR="00B11349" w:rsidRPr="00DA1C11">
        <w:fldChar w:fldCharType="end"/>
      </w:r>
      <w:r w:rsidR="00B11349">
        <w:t xml:space="preserve">).  </w:t>
      </w:r>
      <w:r w:rsidR="00E36967">
        <w:t xml:space="preserve">The difference between </w:t>
      </w:r>
      <w:r w:rsidR="002424A8">
        <w:t>OBPD</w:t>
      </w:r>
      <w:r w:rsidR="00E36967">
        <w:t xml:space="preserve"> and SW in </w:t>
      </w:r>
      <w:r w:rsidR="00E36967" w:rsidRPr="00E36967">
        <w:fldChar w:fldCharType="begin"/>
      </w:r>
      <w:r w:rsidR="00E36967" w:rsidRPr="00E36967">
        <w:instrText xml:space="preserve"> REF _Ref62120150 \h  \* MERGEFORMAT </w:instrText>
      </w:r>
      <w:r w:rsidR="00E36967" w:rsidRPr="00E36967">
        <w:fldChar w:fldCharType="separate"/>
      </w:r>
      <w:r w:rsidR="00E36967" w:rsidRPr="00E36967">
        <w:t xml:space="preserve">Table </w:t>
      </w:r>
      <w:r w:rsidR="00E36967" w:rsidRPr="00E36967">
        <w:rPr>
          <w:noProof/>
        </w:rPr>
        <w:t>2</w:t>
      </w:r>
      <w:r w:rsidR="00E36967" w:rsidRPr="00E36967">
        <w:fldChar w:fldCharType="end"/>
      </w:r>
      <w:r w:rsidR="00E36967">
        <w:t xml:space="preserve"> indicate</w:t>
      </w:r>
      <w:r w:rsidR="00E90083">
        <w:t>s</w:t>
      </w:r>
      <w:r w:rsidR="00E36967">
        <w:t xml:space="preserve"> th</w:t>
      </w:r>
      <w:r w:rsidR="00B11349">
        <w:t>at 72 patients (29.6%)</w:t>
      </w:r>
      <w:r w:rsidR="00E36967">
        <w:t xml:space="preserve"> </w:t>
      </w:r>
      <w:r w:rsidR="00E703AE">
        <w:t xml:space="preserve">presented </w:t>
      </w:r>
      <w:r w:rsidR="00E36967">
        <w:t xml:space="preserve">with </w:t>
      </w:r>
      <w:r w:rsidR="001538B7" w:rsidRPr="002424A8">
        <w:t>O</w:t>
      </w:r>
      <w:r w:rsidR="002424A8">
        <w:t>BPD</w:t>
      </w:r>
      <w:r w:rsidR="001538B7">
        <w:t xml:space="preserve"> </w:t>
      </w:r>
      <w:r w:rsidR="00E36967">
        <w:t xml:space="preserve">not due to </w:t>
      </w:r>
      <w:r w:rsidR="002424A8">
        <w:t>SW</w:t>
      </w:r>
      <w:r w:rsidR="00E36967">
        <w:t>.</w:t>
      </w:r>
      <w:r w:rsidR="00173206">
        <w:t xml:space="preserve">  PE may mask SW</w:t>
      </w:r>
      <w:r w:rsidR="00CA4F0E">
        <w:t>;</w:t>
      </w:r>
      <w:r w:rsidR="00173206">
        <w:t xml:space="preserve"> however, PE with an abnormal BP response to stand is a clue that </w:t>
      </w:r>
      <w:r w:rsidR="00173206">
        <w:lastRenderedPageBreak/>
        <w:t>SW may be masked.  Masked or not</w:t>
      </w:r>
      <w:r w:rsidR="00CA4F0E">
        <w:t>,</w:t>
      </w:r>
      <w:r w:rsidR="00173206">
        <w:t xml:space="preserve"> SW &amp; PE may be demonstrated together</w:t>
      </w:r>
      <w:r w:rsidR="00CA4F0E">
        <w:t>;</w:t>
      </w:r>
      <w:r w:rsidR="00173206">
        <w:t xml:space="preserve"> therefore, POTS and VVS may present together</w:t>
      </w:r>
      <w:r w:rsidR="00CA4F0E">
        <w:t>, and</w:t>
      </w:r>
      <w:r w:rsidR="00173206">
        <w:t xml:space="preserve"> this occurs in 7/9 of the </w:t>
      </w:r>
      <w:r w:rsidR="00B02411">
        <w:t>EDSh</w:t>
      </w:r>
      <w:r w:rsidR="00173206">
        <w:t xml:space="preserve"> patients with POTS.  Similarly</w:t>
      </w:r>
      <w:r w:rsidR="00CA4F0E">
        <w:t>,</w:t>
      </w:r>
      <w:r w:rsidR="00173206">
        <w:t xml:space="preserve"> </w:t>
      </w:r>
      <w:r w:rsidR="002424A8" w:rsidRPr="002424A8">
        <w:t>O</w:t>
      </w:r>
      <w:r w:rsidR="002424A8">
        <w:t xml:space="preserve">BPD </w:t>
      </w:r>
      <w:r w:rsidR="00173206">
        <w:t>&amp; VVS may present together</w:t>
      </w:r>
      <w:r w:rsidR="00CA4F0E">
        <w:t>, and</w:t>
      </w:r>
      <w:r w:rsidR="00173206">
        <w:t xml:space="preserve"> this occurs in 67/192 of the </w:t>
      </w:r>
      <w:r w:rsidR="00B02411">
        <w:t>EDSh</w:t>
      </w:r>
      <w:r w:rsidR="00173206">
        <w:t xml:space="preserve"> patients with </w:t>
      </w:r>
      <w:r w:rsidR="002424A8" w:rsidRPr="002424A8">
        <w:t>O</w:t>
      </w:r>
      <w:r w:rsidR="002424A8">
        <w:t>BPD</w:t>
      </w:r>
      <w:r w:rsidR="00173206">
        <w:t>.</w:t>
      </w:r>
      <w:r w:rsidR="00E703AE">
        <w:t xml:space="preserve">  Of course, all patients with POTS presented with Tachycardia, but not all patients with Tachycardia (12.3%) presented with POTS</w:t>
      </w:r>
    </w:p>
    <w:p w14:paraId="04FED5D1" w14:textId="77777777" w:rsidR="00DB2B50" w:rsidRPr="00F778FC" w:rsidRDefault="00DB2B50" w:rsidP="00DB2B50">
      <w:bookmarkStart w:id="10" w:name="_Ref62119218"/>
      <w:r>
        <w:t>Of the EDSh population, 20.2% present with HTN.  Often HTN is a compensatory mechanism for stand or postural change abnormalities.  In these cases, it seems that the higher resting BP helps to prevent too low a cerebral perfusion pressure when the patient’s BP drops upon assuming an upright posture [</w:t>
      </w:r>
      <w:bookmarkStart w:id="11" w:name="_Ref344389215"/>
      <w:r w:rsidRPr="008D1D1B">
        <w:rPr>
          <w:rStyle w:val="EndnoteReference"/>
          <w:vertAlign w:val="baseline"/>
        </w:rPr>
        <w:endnoteReference w:id="9"/>
      </w:r>
      <w:bookmarkEnd w:id="11"/>
      <w:r>
        <w:t>].</w:t>
      </w:r>
    </w:p>
    <w:p w14:paraId="4A4465BC" w14:textId="77777777" w:rsidR="00DB2B50" w:rsidRPr="00CF3DB9" w:rsidRDefault="00DB2B50" w:rsidP="00DB2B50">
      <w:pPr>
        <w:rPr>
          <w:b/>
        </w:rPr>
      </w:pPr>
      <w:r w:rsidRPr="00CF3DB9">
        <w:rPr>
          <w:b/>
        </w:rPr>
        <w:t>DISCUSSION</w:t>
      </w:r>
    </w:p>
    <w:p w14:paraId="028F0EF7" w14:textId="5A5D7B23" w:rsidR="00E36967" w:rsidRDefault="00DB2B50" w:rsidP="00DB2B50">
      <w:r w:rsidRPr="00441A78">
        <w:t xml:space="preserve">From </w:t>
      </w:r>
      <w:r w:rsidRPr="00441A78">
        <w:fldChar w:fldCharType="begin"/>
      </w:r>
      <w:r w:rsidRPr="00441A78">
        <w:instrText xml:space="preserve"> REF _Ref57708935 \h  \* MERGEFORMAT </w:instrText>
      </w:r>
      <w:r w:rsidRPr="00441A78">
        <w:fldChar w:fldCharType="separate"/>
      </w:r>
      <w:r w:rsidRPr="00441A78">
        <w:t xml:space="preserve">Figure </w:t>
      </w:r>
      <w:r w:rsidRPr="00441A78">
        <w:rPr>
          <w:noProof/>
        </w:rPr>
        <w:t>3</w:t>
      </w:r>
      <w:r w:rsidRPr="00441A78">
        <w:fldChar w:fldCharType="end"/>
      </w:r>
      <w:r w:rsidRPr="00441A78">
        <w:t xml:space="preserve">, </w:t>
      </w:r>
      <w:r>
        <w:t>y</w:t>
      </w:r>
      <w:r w:rsidRPr="00441A78">
        <w:t xml:space="preserve">ounger </w:t>
      </w:r>
      <w:proofErr w:type="spellStart"/>
      <w:r>
        <w:t>EDSh</w:t>
      </w:r>
      <w:proofErr w:type="spellEnd"/>
      <w:r w:rsidRPr="00441A78">
        <w:t xml:space="preserve"> patients’ P&amp;S activity is high-normal possibly due to their heightened immune state and their body’s attempt to heal the “leaky” connective tissue.  The initial high-normal S-levels, higher than the P-levels (the opposite is typical</w:t>
      </w:r>
      <w:r>
        <w:t>)</w:t>
      </w:r>
      <w:r w:rsidRPr="00441A78">
        <w:t xml:space="preserve">, may be why there is persistent inflammation starting in the earlier years, a characteristic of </w:t>
      </w:r>
      <w:r>
        <w:t>EDSh</w:t>
      </w:r>
      <w:r w:rsidRPr="00441A78">
        <w:t xml:space="preserve"> patients</w:t>
      </w:r>
      <w:r>
        <w:t xml:space="preserve">.  Typically, </w:t>
      </w:r>
      <w:r w:rsidRPr="00441A78">
        <w:t>given that P-activity is more involved in development and pregnancy</w:t>
      </w:r>
      <w:r>
        <w:t>, P-activity is higher during these years, as in the normal subjects through the 20s and 30s</w:t>
      </w:r>
      <w:r w:rsidRPr="00441A78">
        <w:t>.  Allergies, Mast Cell activation, Arthritis, Small Fiber disorder, etc. all involve S-activity.  Histaminergic and</w:t>
      </w:r>
      <w:r w:rsidR="00CF3DB9">
        <w:t xml:space="preserve"> </w:t>
      </w:r>
      <w:r w:rsidR="00CF3DB9" w:rsidRPr="00441A78">
        <w:t xml:space="preserve">inflammatory responses are Sympathetic functions.  As the Sympathetics are the reactionary branch, S-activity is normally short-lived.  Persistent or inflated S-activity, therefore, leads to histaminergic and inflammatory disorders.  In </w:t>
      </w:r>
      <w:r w:rsidR="00CF3DB9">
        <w:t>EDSh</w:t>
      </w:r>
      <w:r w:rsidR="00CF3DB9" w:rsidRPr="00441A78">
        <w:t xml:space="preserve"> cases, S-activity is typically inflated by the elevated P-activity and the additional S-activity drives the additional inflammation.  S-activity is also involved in the pain response.  </w:t>
      </w:r>
      <w:r w:rsidR="00CF3DB9" w:rsidRPr="00441A78">
        <w:t>Amplified S-activity, due to abnormal, excessive P-activity</w:t>
      </w:r>
      <w:r w:rsidR="00CF3DB9" w:rsidRPr="00441A78">
        <w:rPr>
          <w:rStyle w:val="FootnoteReference"/>
        </w:rPr>
        <w:footnoteReference w:id="1"/>
      </w:r>
      <w:r w:rsidR="00CF3DB9" w:rsidRPr="00441A78">
        <w:t>, also amplifies the pain response</w:t>
      </w:r>
      <w:r w:rsidR="00CF3DB9">
        <w:t>, especially in “Fibromyalgia-like” pain syndromes</w:t>
      </w:r>
      <w:r w:rsidR="00CF3DB9" w:rsidRPr="00441A78">
        <w:t xml:space="preserve">.  Since the majority of </w:t>
      </w:r>
      <w:r w:rsidR="00CF3DB9">
        <w:t>EDSh</w:t>
      </w:r>
      <w:r w:rsidR="00CF3DB9" w:rsidRPr="00441A78">
        <w:t xml:space="preserve"> patients are female (91.8% of this total population), P-activity (and therefore S-activity) remains higher during childbearing, and may be the reason for the persistence of the elevated P&amp;S activity into the middle-age years.  Subsequently, the </w:t>
      </w:r>
      <w:r w:rsidR="00CF3DB9">
        <w:t>EDSh</w:t>
      </w:r>
      <w:r w:rsidR="00CF3DB9" w:rsidRPr="00441A78">
        <w:t xml:space="preserve"> patients’ resting P&amp;S activity normalizes, as compared with </w:t>
      </w:r>
      <w:r w:rsidR="00CF3DB9">
        <w:t>that of the Normal subjects</w:t>
      </w:r>
      <w:r w:rsidR="00CF3DB9" w:rsidRPr="00441A78">
        <w:t xml:space="preserve">.  </w:t>
      </w:r>
      <w:r w:rsidR="00CF3DB9">
        <w:t>H</w:t>
      </w:r>
      <w:r w:rsidR="00CF3DB9" w:rsidRPr="00441A78">
        <w:t xml:space="preserve">owever, the </w:t>
      </w:r>
      <w:r w:rsidR="00CF3DB9">
        <w:t>EDSh</w:t>
      </w:r>
      <w:r w:rsidR="00CF3DB9" w:rsidRPr="00441A78">
        <w:t xml:space="preserve"> patients’ resting S-activity</w:t>
      </w:r>
      <w:r w:rsidR="00CF3DB9">
        <w:t xml:space="preserve"> remains high compared with resting P-activity</w:t>
      </w:r>
      <w:r w:rsidR="00CF3DB9" w:rsidRPr="00441A78">
        <w:t>.</w:t>
      </w:r>
    </w:p>
    <w:p w14:paraId="4F49CBC0" w14:textId="24E844BC" w:rsidR="00727EE8" w:rsidRDefault="00727EE8" w:rsidP="00DB2B50">
      <w:r>
        <w:t>EDSh</w:t>
      </w:r>
      <w:r w:rsidRPr="00D01836">
        <w:t xml:space="preserve"> is believed to not be life</w:t>
      </w:r>
      <w:r>
        <w:t>-</w:t>
      </w:r>
      <w:r w:rsidRPr="00D01836">
        <w:t xml:space="preserve">threatening, except for one form of EDS (the vascular form).  However, based on these sample populations, </w:t>
      </w:r>
      <w:r>
        <w:t>EDSh</w:t>
      </w:r>
      <w:r w:rsidRPr="00D01836">
        <w:t xml:space="preserve"> may perhaps reduce </w:t>
      </w:r>
      <w:r w:rsidR="00E9480F" w:rsidRPr="00D01836">
        <w:t>length of life an average of 10 years</w:t>
      </w:r>
      <w:r w:rsidR="00E9480F">
        <w:t>,</w:t>
      </w:r>
      <w:r w:rsidR="00E9480F" w:rsidRPr="00D01836">
        <w:t xml:space="preserve"> </w:t>
      </w:r>
      <w:r w:rsidR="00E9480F">
        <w:t xml:space="preserve">given that they </w:t>
      </w:r>
      <w:r w:rsidR="00E9480F" w:rsidRPr="00D01836">
        <w:t xml:space="preserve">cross the CAN threshold up to </w:t>
      </w:r>
      <w:r w:rsidR="00E9480F">
        <w:t>1</w:t>
      </w:r>
      <w:r w:rsidR="00E9480F" w:rsidRPr="00D01836">
        <w:t xml:space="preserve">0 years earlier than Normals.  Again, P-activity is protective.  The </w:t>
      </w:r>
      <w:r w:rsidR="00E9480F">
        <w:t xml:space="preserve">more </w:t>
      </w:r>
      <w:r w:rsidR="00E9480F" w:rsidRPr="00D01836">
        <w:t xml:space="preserve">reduced P-activity in the </w:t>
      </w:r>
      <w:r w:rsidR="00E9480F">
        <w:t>EDSh</w:t>
      </w:r>
      <w:r w:rsidR="00E9480F" w:rsidRPr="00D01836">
        <w:t xml:space="preserve"> patients may be the</w:t>
      </w:r>
      <w:r w:rsidR="00E9480F">
        <w:t xml:space="preserve"> </w:t>
      </w:r>
      <w:r w:rsidR="00E9480F" w:rsidRPr="00D01836">
        <w:t xml:space="preserve">cause of the reduced life span.  It may indicate an immune system that has fatigued earlier or it may be responsible for earlier onset MACE-risk (heat attack, stroke, heart failure, etc.).  The higher mortality-risk is reflected in the CAN with SB &gt; 2.5 condition </w:t>
      </w:r>
      <w:r w:rsidR="00E9480F">
        <w:t>[</w:t>
      </w:r>
      <w:r w:rsidR="00E9480F">
        <w:fldChar w:fldCharType="begin"/>
      </w:r>
      <w:r w:rsidR="00E9480F">
        <w:instrText xml:space="preserve"> NOTEREF _Ref483804527 \h </w:instrText>
      </w:r>
      <w:r w:rsidR="00E9480F">
        <w:fldChar w:fldCharType="separate"/>
      </w:r>
      <w:r w:rsidR="00E9480F">
        <w:t>1</w:t>
      </w:r>
      <w:r w:rsidR="00E9480F">
        <w:fldChar w:fldCharType="end"/>
      </w:r>
      <w:r w:rsidR="00E9480F">
        <w:t>,</w:t>
      </w:r>
      <w:r w:rsidR="00E9480F" w:rsidRPr="00BD46D8">
        <w:rPr>
          <w:rStyle w:val="EndnoteReference"/>
          <w:vertAlign w:val="baseline"/>
        </w:rPr>
        <w:endnoteReference w:id="10"/>
      </w:r>
      <w:r w:rsidR="00E9480F">
        <w:t xml:space="preserve">] </w:t>
      </w:r>
      <w:r w:rsidR="00E9480F" w:rsidRPr="00D01836">
        <w:t xml:space="preserve">in the </w:t>
      </w:r>
      <w:proofErr w:type="spellStart"/>
      <w:r w:rsidR="00E9480F">
        <w:t>EDSh</w:t>
      </w:r>
      <w:proofErr w:type="spellEnd"/>
      <w:r w:rsidR="00E9480F" w:rsidRPr="00D01836">
        <w:t xml:space="preserve"> patients starting around age 60, on average (see </w:t>
      </w:r>
      <w:r w:rsidR="00E9480F" w:rsidRPr="00D01836">
        <w:fldChar w:fldCharType="begin"/>
      </w:r>
      <w:r w:rsidR="00E9480F" w:rsidRPr="00D01836">
        <w:instrText xml:space="preserve"> REF _Ref62119218 \h  \* MERGEFORMAT </w:instrText>
      </w:r>
      <w:r w:rsidR="00E9480F" w:rsidRPr="00D01836">
        <w:fldChar w:fldCharType="separate"/>
      </w:r>
      <w:r w:rsidR="00E9480F" w:rsidRPr="00D01836">
        <w:t xml:space="preserve">Table </w:t>
      </w:r>
      <w:r w:rsidR="00E9480F" w:rsidRPr="00D01836">
        <w:rPr>
          <w:noProof/>
        </w:rPr>
        <w:t>2</w:t>
      </w:r>
      <w:r w:rsidR="00E9480F" w:rsidRPr="00D01836">
        <w:fldChar w:fldCharType="end"/>
      </w:r>
      <w:r w:rsidR="00E9480F" w:rsidRPr="00D01836">
        <w:t xml:space="preserve">).  CAN with SB &gt; 2.5 is therefore an indicator that therapy should be more aggressive about establishing and maintaining </w:t>
      </w:r>
      <w:r w:rsidR="00E9480F">
        <w:t xml:space="preserve">low-normal </w:t>
      </w:r>
      <w:r w:rsidR="00E9480F" w:rsidRPr="00D01836">
        <w:t xml:space="preserve">SB:  0.4 &lt; SB &lt; 1.0; </w:t>
      </w:r>
      <w:r w:rsidR="00E9480F" w:rsidRPr="00D01836">
        <w:rPr>
          <w:i/>
        </w:rPr>
        <w:t>e.g.</w:t>
      </w:r>
      <w:r w:rsidR="00E9480F" w:rsidRPr="00D01836">
        <w:t>, increasing dosages of</w:t>
      </w:r>
    </w:p>
    <w:p w14:paraId="263EE391" w14:textId="77777777" w:rsidR="00CF3DB9" w:rsidRDefault="00CF3DB9" w:rsidP="00DB2B50">
      <w:pPr>
        <w:sectPr w:rsidR="00CF3DB9" w:rsidSect="00CF3DB9">
          <w:footnotePr>
            <w:numFmt w:val="chicago"/>
          </w:footnotePr>
          <w:endnotePr>
            <w:numFmt w:val="decimal"/>
          </w:endnotePr>
          <w:type w:val="continuous"/>
          <w:pgSz w:w="12240" w:h="15840"/>
          <w:pgMar w:top="1440" w:right="1440" w:bottom="1440" w:left="1440" w:header="720" w:footer="720" w:gutter="0"/>
          <w:cols w:num="2" w:space="720"/>
          <w:docGrid w:linePitch="360"/>
        </w:sectPr>
      </w:pPr>
    </w:p>
    <w:p w14:paraId="268F04ED" w14:textId="77777777" w:rsidR="00DB2B50" w:rsidRPr="008D1D1B" w:rsidRDefault="00DB2B50" w:rsidP="00DB2B50"/>
    <w:p w14:paraId="6E288576" w14:textId="77777777" w:rsidR="00CF3DB9" w:rsidRDefault="00CF3DB9" w:rsidP="00FC383A">
      <w:pPr>
        <w:rPr>
          <w:b/>
        </w:rPr>
        <w:sectPr w:rsidR="00CF3DB9" w:rsidSect="001B30EA">
          <w:footnotePr>
            <w:numFmt w:val="chicago"/>
          </w:footnotePr>
          <w:endnotePr>
            <w:numFmt w:val="decimal"/>
          </w:endnotePr>
          <w:type w:val="continuous"/>
          <w:pgSz w:w="12240" w:h="15840"/>
          <w:pgMar w:top="1440" w:right="1440" w:bottom="1440" w:left="1440" w:header="720" w:footer="720" w:gutter="0"/>
          <w:cols w:space="720"/>
          <w:docGrid w:linePitch="360"/>
        </w:sectPr>
      </w:pPr>
      <w:bookmarkStart w:id="12" w:name="_Ref62120150"/>
    </w:p>
    <w:p w14:paraId="453DC929" w14:textId="14B81A4D" w:rsidR="00C812CF" w:rsidRDefault="00C812CF" w:rsidP="00FC383A">
      <w:r w:rsidRPr="00C812CF">
        <w:rPr>
          <w:b/>
        </w:rPr>
        <w:t xml:space="preserve">Table </w:t>
      </w:r>
      <w:r w:rsidRPr="00C812CF">
        <w:rPr>
          <w:b/>
        </w:rPr>
        <w:fldChar w:fldCharType="begin"/>
      </w:r>
      <w:r w:rsidRPr="00C812CF">
        <w:rPr>
          <w:b/>
        </w:rPr>
        <w:instrText xml:space="preserve"> SEQ Table \* ARABIC </w:instrText>
      </w:r>
      <w:r w:rsidRPr="00C812CF">
        <w:rPr>
          <w:b/>
        </w:rPr>
        <w:fldChar w:fldCharType="separate"/>
      </w:r>
      <w:r w:rsidRPr="00C812CF">
        <w:rPr>
          <w:b/>
          <w:noProof/>
        </w:rPr>
        <w:t>2</w:t>
      </w:r>
      <w:r w:rsidRPr="00C812CF">
        <w:rPr>
          <w:b/>
        </w:rPr>
        <w:fldChar w:fldCharType="end"/>
      </w:r>
      <w:bookmarkEnd w:id="10"/>
      <w:bookmarkEnd w:id="12"/>
      <w:r>
        <w:t xml:space="preserve">:  </w:t>
      </w:r>
      <w:r w:rsidR="000F0C06">
        <w:t xml:space="preserve">Numbers of </w:t>
      </w:r>
      <w:r w:rsidR="00B02411">
        <w:t>EDSh</w:t>
      </w:r>
      <w:r w:rsidRPr="00FF7ED0">
        <w:t xml:space="preserve"> patient</w:t>
      </w:r>
      <w:r>
        <w:t>s</w:t>
      </w:r>
      <w:r w:rsidR="000F0C06">
        <w:t xml:space="preserve"> presenting with abnormal </w:t>
      </w:r>
      <w:r>
        <w:t xml:space="preserve">resting </w:t>
      </w:r>
      <w:r w:rsidR="000F0C06">
        <w:t xml:space="preserve">or </w:t>
      </w:r>
      <w:r>
        <w:t xml:space="preserve">dynamic (or challenge) P&amp;S </w:t>
      </w:r>
      <w:r w:rsidR="000F0C06">
        <w:t xml:space="preserve">or hemodynamic </w:t>
      </w:r>
      <w:r>
        <w:t>responses</w:t>
      </w:r>
      <w:r w:rsidR="007174B0">
        <w:t>,</w:t>
      </w:r>
      <w:r>
        <w:t xml:space="preserve"> by age</w:t>
      </w:r>
      <w:r w:rsidR="006F1740">
        <w:t>.</w:t>
      </w:r>
      <w:r w:rsidR="000F0C06">
        <w:t xml:space="preserve">  Patients that demonstrate autonomic abnormalities may demonstrate one or more of the following:  AAD, CAN, SW, or PE.  These autonomic abnormalities may result in one or more of the following:  HTN, </w:t>
      </w:r>
      <w:r w:rsidR="007E15A5">
        <w:t>OBPD</w:t>
      </w:r>
      <w:r w:rsidR="000F0C06">
        <w:t xml:space="preserve">, </w:t>
      </w:r>
      <w:proofErr w:type="spellStart"/>
      <w:r w:rsidR="000F0C06">
        <w:t>Tachy</w:t>
      </w:r>
      <w:proofErr w:type="spellEnd"/>
      <w:r w:rsidR="000F0C06">
        <w:t>, POTS.  (For definitions</w:t>
      </w:r>
      <w:r w:rsidR="00CA4F0E">
        <w:t>,</w:t>
      </w:r>
      <w:r w:rsidR="000F0C06">
        <w:t xml:space="preserve"> see below the Table</w:t>
      </w:r>
      <w:r w:rsidR="00CA4F0E">
        <w:t xml:space="preserve"> and</w:t>
      </w:r>
      <w:r w:rsidR="00727EA6">
        <w:t xml:space="preserve"> see text for details</w:t>
      </w:r>
      <w:r w:rsidR="000F0C06">
        <w:t>).</w:t>
      </w:r>
    </w:p>
    <w:tbl>
      <w:tblPr>
        <w:tblStyle w:val="TableGrid"/>
        <w:tblW w:w="10332" w:type="dxa"/>
        <w:tblInd w:w="-522" w:type="dxa"/>
        <w:tblLayout w:type="fixed"/>
        <w:tblLook w:val="04A0" w:firstRow="1" w:lastRow="0" w:firstColumn="1" w:lastColumn="0" w:noHBand="0" w:noVBand="1"/>
      </w:tblPr>
      <w:tblGrid>
        <w:gridCol w:w="1260"/>
        <w:gridCol w:w="1008"/>
        <w:gridCol w:w="1008"/>
        <w:gridCol w:w="1008"/>
        <w:gridCol w:w="1008"/>
        <w:gridCol w:w="1008"/>
        <w:gridCol w:w="1008"/>
        <w:gridCol w:w="1008"/>
        <w:gridCol w:w="1008"/>
        <w:gridCol w:w="1008"/>
      </w:tblGrid>
      <w:tr w:rsidR="00727EA6" w:rsidRPr="004F284D" w14:paraId="0A53BEB3" w14:textId="77777777" w:rsidTr="00727EA6">
        <w:tc>
          <w:tcPr>
            <w:tcW w:w="1260" w:type="dxa"/>
            <w:vAlign w:val="center"/>
          </w:tcPr>
          <w:p w14:paraId="6E5B02E9" w14:textId="77777777" w:rsidR="00727EA6" w:rsidRPr="004F284D" w:rsidRDefault="00727EA6" w:rsidP="006F1740">
            <w:pPr>
              <w:jc w:val="center"/>
              <w:rPr>
                <w:b/>
              </w:rPr>
            </w:pPr>
            <w:r w:rsidRPr="004F284D">
              <w:rPr>
                <w:b/>
              </w:rPr>
              <w:t>Age (</w:t>
            </w:r>
            <w:proofErr w:type="spellStart"/>
            <w:r w:rsidRPr="004F284D">
              <w:rPr>
                <w:b/>
              </w:rPr>
              <w:t>yrs</w:t>
            </w:r>
            <w:proofErr w:type="spellEnd"/>
            <w:r w:rsidRPr="004F284D">
              <w:rPr>
                <w:b/>
              </w:rPr>
              <w:t>)</w:t>
            </w:r>
          </w:p>
        </w:tc>
        <w:tc>
          <w:tcPr>
            <w:tcW w:w="1008" w:type="dxa"/>
            <w:vAlign w:val="center"/>
          </w:tcPr>
          <w:p w14:paraId="348B8D65" w14:textId="77777777" w:rsidR="00727EA6" w:rsidRDefault="00727EA6" w:rsidP="00E36967">
            <w:pPr>
              <w:jc w:val="center"/>
              <w:rPr>
                <w:b/>
              </w:rPr>
            </w:pPr>
            <w:r>
              <w:rPr>
                <w:b/>
              </w:rPr>
              <w:t>AAD</w:t>
            </w:r>
          </w:p>
        </w:tc>
        <w:tc>
          <w:tcPr>
            <w:tcW w:w="1008" w:type="dxa"/>
            <w:vAlign w:val="center"/>
          </w:tcPr>
          <w:p w14:paraId="68BC3321" w14:textId="77777777" w:rsidR="00727EA6" w:rsidRPr="004F284D" w:rsidRDefault="00727EA6" w:rsidP="00E36967">
            <w:pPr>
              <w:jc w:val="center"/>
              <w:rPr>
                <w:b/>
              </w:rPr>
            </w:pPr>
            <w:r>
              <w:rPr>
                <w:b/>
              </w:rPr>
              <w:t>CAN</w:t>
            </w:r>
          </w:p>
        </w:tc>
        <w:tc>
          <w:tcPr>
            <w:tcW w:w="1008" w:type="dxa"/>
            <w:vAlign w:val="center"/>
          </w:tcPr>
          <w:p w14:paraId="17027838" w14:textId="77777777" w:rsidR="00727EA6" w:rsidRPr="004F284D" w:rsidRDefault="00727EA6" w:rsidP="00E36967">
            <w:pPr>
              <w:jc w:val="center"/>
              <w:rPr>
                <w:b/>
              </w:rPr>
            </w:pPr>
            <w:r>
              <w:rPr>
                <w:b/>
              </w:rPr>
              <w:t>SW</w:t>
            </w:r>
          </w:p>
        </w:tc>
        <w:tc>
          <w:tcPr>
            <w:tcW w:w="1008" w:type="dxa"/>
            <w:vAlign w:val="center"/>
          </w:tcPr>
          <w:p w14:paraId="54CAC027" w14:textId="77777777" w:rsidR="00727EA6" w:rsidRPr="004F284D" w:rsidRDefault="00727EA6" w:rsidP="00E36967">
            <w:pPr>
              <w:jc w:val="center"/>
              <w:rPr>
                <w:b/>
              </w:rPr>
            </w:pPr>
            <w:r>
              <w:rPr>
                <w:b/>
              </w:rPr>
              <w:t>PE</w:t>
            </w:r>
          </w:p>
        </w:tc>
        <w:tc>
          <w:tcPr>
            <w:tcW w:w="1008" w:type="dxa"/>
            <w:vAlign w:val="center"/>
          </w:tcPr>
          <w:p w14:paraId="013A80C6" w14:textId="77777777" w:rsidR="00727EA6" w:rsidRPr="004F284D" w:rsidRDefault="00727EA6" w:rsidP="00E36967">
            <w:pPr>
              <w:jc w:val="center"/>
              <w:rPr>
                <w:b/>
              </w:rPr>
            </w:pPr>
            <w:r>
              <w:rPr>
                <w:b/>
              </w:rPr>
              <w:t>HTN</w:t>
            </w:r>
          </w:p>
        </w:tc>
        <w:tc>
          <w:tcPr>
            <w:tcW w:w="1008" w:type="dxa"/>
            <w:vAlign w:val="center"/>
          </w:tcPr>
          <w:p w14:paraId="3C6ACEEC" w14:textId="77777777" w:rsidR="00727EA6" w:rsidRPr="002424A8" w:rsidRDefault="002424A8" w:rsidP="00E36967">
            <w:pPr>
              <w:jc w:val="center"/>
              <w:rPr>
                <w:b/>
              </w:rPr>
            </w:pPr>
            <w:r w:rsidRPr="002424A8">
              <w:rPr>
                <w:b/>
              </w:rPr>
              <w:t>OBPD</w:t>
            </w:r>
          </w:p>
        </w:tc>
        <w:tc>
          <w:tcPr>
            <w:tcW w:w="1008" w:type="dxa"/>
            <w:vAlign w:val="center"/>
          </w:tcPr>
          <w:p w14:paraId="689106E7" w14:textId="77777777" w:rsidR="00727EA6" w:rsidRPr="004F284D" w:rsidRDefault="00727EA6" w:rsidP="00E36967">
            <w:pPr>
              <w:jc w:val="center"/>
              <w:rPr>
                <w:b/>
              </w:rPr>
            </w:pPr>
            <w:proofErr w:type="spellStart"/>
            <w:r>
              <w:rPr>
                <w:b/>
              </w:rPr>
              <w:t>Tachy</w:t>
            </w:r>
            <w:proofErr w:type="spellEnd"/>
          </w:p>
        </w:tc>
        <w:tc>
          <w:tcPr>
            <w:tcW w:w="1008" w:type="dxa"/>
            <w:vAlign w:val="center"/>
          </w:tcPr>
          <w:p w14:paraId="1EC2C90D" w14:textId="77777777" w:rsidR="00727EA6" w:rsidRPr="004F284D" w:rsidRDefault="00727EA6" w:rsidP="00E36967">
            <w:pPr>
              <w:jc w:val="center"/>
              <w:rPr>
                <w:b/>
              </w:rPr>
            </w:pPr>
            <w:r>
              <w:rPr>
                <w:b/>
              </w:rPr>
              <w:t>POTS</w:t>
            </w:r>
          </w:p>
        </w:tc>
        <w:tc>
          <w:tcPr>
            <w:tcW w:w="1008" w:type="dxa"/>
          </w:tcPr>
          <w:p w14:paraId="31A7B83D" w14:textId="77777777" w:rsidR="00727EA6" w:rsidRDefault="00727EA6" w:rsidP="00E36967">
            <w:pPr>
              <w:jc w:val="center"/>
              <w:rPr>
                <w:b/>
              </w:rPr>
            </w:pPr>
            <w:r>
              <w:rPr>
                <w:b/>
              </w:rPr>
              <w:t>VVS</w:t>
            </w:r>
          </w:p>
        </w:tc>
      </w:tr>
      <w:tr w:rsidR="00727EA6" w14:paraId="4642A229" w14:textId="77777777" w:rsidTr="001538B7">
        <w:tc>
          <w:tcPr>
            <w:tcW w:w="1260" w:type="dxa"/>
          </w:tcPr>
          <w:p w14:paraId="49C797E4" w14:textId="77777777" w:rsidR="00727EA6" w:rsidRDefault="00727EA6" w:rsidP="00E36967">
            <w:pPr>
              <w:jc w:val="center"/>
            </w:pPr>
            <w:r>
              <w:t>&lt; 20</w:t>
            </w:r>
          </w:p>
        </w:tc>
        <w:tc>
          <w:tcPr>
            <w:tcW w:w="1008" w:type="dxa"/>
            <w:vAlign w:val="bottom"/>
          </w:tcPr>
          <w:p w14:paraId="091AEEE2" w14:textId="77777777" w:rsidR="00727EA6" w:rsidRPr="001B6BFE" w:rsidRDefault="00727EA6">
            <w:pPr>
              <w:jc w:val="center"/>
              <w:rPr>
                <w:rFonts w:cs="Times New Roman"/>
                <w:szCs w:val="24"/>
              </w:rPr>
            </w:pPr>
            <w:r w:rsidRPr="001B6BFE">
              <w:rPr>
                <w:rFonts w:cs="Times New Roman"/>
                <w:szCs w:val="24"/>
              </w:rPr>
              <w:t>1</w:t>
            </w:r>
          </w:p>
        </w:tc>
        <w:tc>
          <w:tcPr>
            <w:tcW w:w="1008" w:type="dxa"/>
            <w:vAlign w:val="bottom"/>
          </w:tcPr>
          <w:p w14:paraId="694AFA8A" w14:textId="77777777" w:rsidR="00727EA6" w:rsidRPr="001B6BFE" w:rsidRDefault="00727EA6">
            <w:pPr>
              <w:jc w:val="center"/>
            </w:pPr>
            <w:r w:rsidRPr="001B6BFE">
              <w:t>0</w:t>
            </w:r>
          </w:p>
        </w:tc>
        <w:tc>
          <w:tcPr>
            <w:tcW w:w="1008" w:type="dxa"/>
            <w:vAlign w:val="bottom"/>
          </w:tcPr>
          <w:p w14:paraId="7C7A60F0" w14:textId="77777777" w:rsidR="00727EA6" w:rsidRPr="001B6BFE" w:rsidRDefault="00727EA6" w:rsidP="00E36967">
            <w:pPr>
              <w:jc w:val="center"/>
            </w:pPr>
            <w:r w:rsidRPr="001B6BFE">
              <w:t>11</w:t>
            </w:r>
          </w:p>
        </w:tc>
        <w:tc>
          <w:tcPr>
            <w:tcW w:w="1008" w:type="dxa"/>
            <w:vAlign w:val="bottom"/>
          </w:tcPr>
          <w:p w14:paraId="7DE5CB19" w14:textId="77777777" w:rsidR="00727EA6" w:rsidRPr="001B6BFE" w:rsidRDefault="00727EA6" w:rsidP="00E36967">
            <w:pPr>
              <w:jc w:val="center"/>
              <w:rPr>
                <w:rFonts w:cs="Times New Roman"/>
                <w:szCs w:val="24"/>
              </w:rPr>
            </w:pPr>
            <w:r w:rsidRPr="001B6BFE">
              <w:rPr>
                <w:rFonts w:cs="Times New Roman"/>
                <w:szCs w:val="24"/>
              </w:rPr>
              <w:t>10</w:t>
            </w:r>
          </w:p>
        </w:tc>
        <w:tc>
          <w:tcPr>
            <w:tcW w:w="1008" w:type="dxa"/>
            <w:vAlign w:val="bottom"/>
          </w:tcPr>
          <w:p w14:paraId="73AD7E48" w14:textId="77777777" w:rsidR="00727EA6" w:rsidRPr="00E90083" w:rsidRDefault="00727EA6">
            <w:pPr>
              <w:jc w:val="center"/>
              <w:rPr>
                <w:rFonts w:cs="Times New Roman"/>
                <w:color w:val="000000"/>
              </w:rPr>
            </w:pPr>
            <w:r w:rsidRPr="00E90083">
              <w:rPr>
                <w:rFonts w:cs="Times New Roman"/>
                <w:color w:val="000000"/>
              </w:rPr>
              <w:t>1</w:t>
            </w:r>
          </w:p>
        </w:tc>
        <w:tc>
          <w:tcPr>
            <w:tcW w:w="1008" w:type="dxa"/>
            <w:vAlign w:val="bottom"/>
          </w:tcPr>
          <w:p w14:paraId="61D28844" w14:textId="77777777" w:rsidR="00727EA6" w:rsidRPr="001B6BFE" w:rsidRDefault="00727EA6">
            <w:pPr>
              <w:jc w:val="center"/>
            </w:pPr>
            <w:r>
              <w:t>15</w:t>
            </w:r>
          </w:p>
        </w:tc>
        <w:tc>
          <w:tcPr>
            <w:tcW w:w="1008" w:type="dxa"/>
            <w:vAlign w:val="bottom"/>
          </w:tcPr>
          <w:p w14:paraId="64C27922" w14:textId="77777777" w:rsidR="00727EA6" w:rsidRPr="00727EA6" w:rsidRDefault="00727EA6">
            <w:pPr>
              <w:jc w:val="center"/>
              <w:rPr>
                <w:rFonts w:cs="Times New Roman"/>
                <w:color w:val="000000"/>
                <w:szCs w:val="24"/>
              </w:rPr>
            </w:pPr>
            <w:r w:rsidRPr="00727EA6">
              <w:rPr>
                <w:rFonts w:cs="Times New Roman"/>
                <w:color w:val="000000"/>
                <w:szCs w:val="24"/>
              </w:rPr>
              <w:t>4</w:t>
            </w:r>
          </w:p>
        </w:tc>
        <w:tc>
          <w:tcPr>
            <w:tcW w:w="1008" w:type="dxa"/>
            <w:vAlign w:val="bottom"/>
          </w:tcPr>
          <w:p w14:paraId="13AE04CA" w14:textId="77777777" w:rsidR="00727EA6" w:rsidRPr="001B6BFE" w:rsidRDefault="00727EA6" w:rsidP="00E36967">
            <w:pPr>
              <w:jc w:val="center"/>
            </w:pPr>
            <w:r w:rsidRPr="001B6BFE">
              <w:t>5</w:t>
            </w:r>
          </w:p>
        </w:tc>
        <w:tc>
          <w:tcPr>
            <w:tcW w:w="1008" w:type="dxa"/>
            <w:vAlign w:val="bottom"/>
          </w:tcPr>
          <w:p w14:paraId="15FA8164" w14:textId="77777777" w:rsidR="00727EA6" w:rsidRPr="00E90083" w:rsidRDefault="00E90083">
            <w:pPr>
              <w:jc w:val="center"/>
              <w:rPr>
                <w:rFonts w:cs="Times New Roman"/>
                <w:color w:val="000000"/>
              </w:rPr>
            </w:pPr>
            <w:r>
              <w:rPr>
                <w:rFonts w:cs="Times New Roman"/>
                <w:color w:val="000000"/>
              </w:rPr>
              <w:t>6</w:t>
            </w:r>
          </w:p>
        </w:tc>
      </w:tr>
      <w:tr w:rsidR="00727EA6" w14:paraId="17B60B79" w14:textId="77777777" w:rsidTr="001538B7">
        <w:tc>
          <w:tcPr>
            <w:tcW w:w="1260" w:type="dxa"/>
          </w:tcPr>
          <w:p w14:paraId="0553C7A7" w14:textId="77777777" w:rsidR="00727EA6" w:rsidRDefault="00727EA6" w:rsidP="00E36967">
            <w:pPr>
              <w:jc w:val="center"/>
            </w:pPr>
            <w:r>
              <w:t>20 – 29</w:t>
            </w:r>
          </w:p>
        </w:tc>
        <w:tc>
          <w:tcPr>
            <w:tcW w:w="1008" w:type="dxa"/>
            <w:vAlign w:val="bottom"/>
          </w:tcPr>
          <w:p w14:paraId="7A1F1374" w14:textId="77777777" w:rsidR="00727EA6" w:rsidRPr="001B6BFE" w:rsidRDefault="00727EA6">
            <w:pPr>
              <w:jc w:val="center"/>
              <w:rPr>
                <w:rFonts w:cs="Times New Roman"/>
                <w:szCs w:val="24"/>
              </w:rPr>
            </w:pPr>
            <w:r w:rsidRPr="001B6BFE">
              <w:rPr>
                <w:rFonts w:cs="Times New Roman"/>
                <w:szCs w:val="24"/>
              </w:rPr>
              <w:t>4</w:t>
            </w:r>
          </w:p>
        </w:tc>
        <w:tc>
          <w:tcPr>
            <w:tcW w:w="1008" w:type="dxa"/>
            <w:vAlign w:val="bottom"/>
          </w:tcPr>
          <w:p w14:paraId="153A356A" w14:textId="77777777" w:rsidR="00727EA6" w:rsidRPr="001B6BFE" w:rsidRDefault="00727EA6">
            <w:pPr>
              <w:jc w:val="center"/>
            </w:pPr>
            <w:r w:rsidRPr="001B6BFE">
              <w:t>0</w:t>
            </w:r>
          </w:p>
        </w:tc>
        <w:tc>
          <w:tcPr>
            <w:tcW w:w="1008" w:type="dxa"/>
            <w:vAlign w:val="bottom"/>
          </w:tcPr>
          <w:p w14:paraId="751FE91D" w14:textId="77777777" w:rsidR="00727EA6" w:rsidRPr="001B6BFE" w:rsidRDefault="00727EA6" w:rsidP="00E36967">
            <w:pPr>
              <w:jc w:val="center"/>
            </w:pPr>
            <w:r w:rsidRPr="001B6BFE">
              <w:t>37</w:t>
            </w:r>
          </w:p>
        </w:tc>
        <w:tc>
          <w:tcPr>
            <w:tcW w:w="1008" w:type="dxa"/>
            <w:vAlign w:val="bottom"/>
          </w:tcPr>
          <w:p w14:paraId="643EF3EC" w14:textId="77777777" w:rsidR="00727EA6" w:rsidRPr="001B6BFE" w:rsidRDefault="00727EA6" w:rsidP="00E36967">
            <w:pPr>
              <w:jc w:val="center"/>
              <w:rPr>
                <w:rFonts w:cs="Times New Roman"/>
                <w:szCs w:val="24"/>
              </w:rPr>
            </w:pPr>
            <w:r w:rsidRPr="001B6BFE">
              <w:rPr>
                <w:rFonts w:cs="Times New Roman"/>
                <w:szCs w:val="24"/>
              </w:rPr>
              <w:t>44</w:t>
            </w:r>
          </w:p>
        </w:tc>
        <w:tc>
          <w:tcPr>
            <w:tcW w:w="1008" w:type="dxa"/>
            <w:vAlign w:val="bottom"/>
          </w:tcPr>
          <w:p w14:paraId="5E207E46" w14:textId="77777777" w:rsidR="00727EA6" w:rsidRPr="00E90083" w:rsidRDefault="00727EA6">
            <w:pPr>
              <w:jc w:val="center"/>
              <w:rPr>
                <w:rFonts w:cs="Times New Roman"/>
                <w:color w:val="000000"/>
              </w:rPr>
            </w:pPr>
            <w:r w:rsidRPr="00E90083">
              <w:rPr>
                <w:rFonts w:cs="Times New Roman"/>
                <w:color w:val="000000"/>
              </w:rPr>
              <w:t>11</w:t>
            </w:r>
          </w:p>
        </w:tc>
        <w:tc>
          <w:tcPr>
            <w:tcW w:w="1008" w:type="dxa"/>
            <w:vAlign w:val="bottom"/>
          </w:tcPr>
          <w:p w14:paraId="1F991F98" w14:textId="77777777" w:rsidR="00727EA6" w:rsidRPr="001B6BFE" w:rsidRDefault="00727EA6">
            <w:pPr>
              <w:jc w:val="center"/>
            </w:pPr>
            <w:r>
              <w:t>64</w:t>
            </w:r>
          </w:p>
        </w:tc>
        <w:tc>
          <w:tcPr>
            <w:tcW w:w="1008" w:type="dxa"/>
            <w:vAlign w:val="bottom"/>
          </w:tcPr>
          <w:p w14:paraId="505DCDBA" w14:textId="77777777" w:rsidR="00727EA6" w:rsidRPr="00727EA6" w:rsidRDefault="00727EA6">
            <w:pPr>
              <w:jc w:val="center"/>
              <w:rPr>
                <w:rFonts w:cs="Times New Roman"/>
                <w:color w:val="000000"/>
                <w:szCs w:val="24"/>
              </w:rPr>
            </w:pPr>
            <w:r w:rsidRPr="00727EA6">
              <w:rPr>
                <w:rFonts w:cs="Times New Roman"/>
                <w:color w:val="000000"/>
                <w:szCs w:val="24"/>
              </w:rPr>
              <w:t>15</w:t>
            </w:r>
          </w:p>
        </w:tc>
        <w:tc>
          <w:tcPr>
            <w:tcW w:w="1008" w:type="dxa"/>
            <w:vAlign w:val="bottom"/>
          </w:tcPr>
          <w:p w14:paraId="39AA4BA9" w14:textId="77777777" w:rsidR="00727EA6" w:rsidRPr="001B6BFE" w:rsidRDefault="00727EA6" w:rsidP="00E36967">
            <w:pPr>
              <w:jc w:val="center"/>
            </w:pPr>
            <w:r w:rsidRPr="001B6BFE">
              <w:t>4</w:t>
            </w:r>
          </w:p>
        </w:tc>
        <w:tc>
          <w:tcPr>
            <w:tcW w:w="1008" w:type="dxa"/>
            <w:vAlign w:val="bottom"/>
          </w:tcPr>
          <w:p w14:paraId="55256C3C" w14:textId="77777777" w:rsidR="00727EA6" w:rsidRPr="00E90083" w:rsidRDefault="00E90083">
            <w:pPr>
              <w:jc w:val="center"/>
              <w:rPr>
                <w:rFonts w:cs="Times New Roman"/>
                <w:color w:val="000000"/>
              </w:rPr>
            </w:pPr>
            <w:r>
              <w:rPr>
                <w:rFonts w:cs="Times New Roman"/>
                <w:color w:val="000000"/>
              </w:rPr>
              <w:t>32</w:t>
            </w:r>
          </w:p>
        </w:tc>
      </w:tr>
      <w:tr w:rsidR="00727EA6" w14:paraId="63364DE9" w14:textId="77777777" w:rsidTr="001538B7">
        <w:tc>
          <w:tcPr>
            <w:tcW w:w="1260" w:type="dxa"/>
          </w:tcPr>
          <w:p w14:paraId="3DE2D3FC" w14:textId="77777777" w:rsidR="00727EA6" w:rsidRDefault="00727EA6" w:rsidP="00E36967">
            <w:pPr>
              <w:jc w:val="center"/>
            </w:pPr>
            <w:r>
              <w:t>30 – 39</w:t>
            </w:r>
          </w:p>
        </w:tc>
        <w:tc>
          <w:tcPr>
            <w:tcW w:w="1008" w:type="dxa"/>
            <w:vAlign w:val="bottom"/>
          </w:tcPr>
          <w:p w14:paraId="41EB38C6" w14:textId="77777777" w:rsidR="00727EA6" w:rsidRPr="001B6BFE" w:rsidRDefault="00727EA6">
            <w:pPr>
              <w:jc w:val="center"/>
              <w:rPr>
                <w:rFonts w:cs="Times New Roman"/>
                <w:szCs w:val="24"/>
              </w:rPr>
            </w:pPr>
            <w:r w:rsidRPr="001B6BFE">
              <w:rPr>
                <w:rFonts w:cs="Times New Roman"/>
                <w:szCs w:val="24"/>
              </w:rPr>
              <w:t>5</w:t>
            </w:r>
          </w:p>
        </w:tc>
        <w:tc>
          <w:tcPr>
            <w:tcW w:w="1008" w:type="dxa"/>
            <w:vAlign w:val="bottom"/>
          </w:tcPr>
          <w:p w14:paraId="77EDCFAE" w14:textId="77777777" w:rsidR="00727EA6" w:rsidRPr="001B6BFE" w:rsidRDefault="00727EA6">
            <w:pPr>
              <w:jc w:val="center"/>
            </w:pPr>
            <w:r w:rsidRPr="001B6BFE">
              <w:t>0</w:t>
            </w:r>
          </w:p>
        </w:tc>
        <w:tc>
          <w:tcPr>
            <w:tcW w:w="1008" w:type="dxa"/>
            <w:vAlign w:val="bottom"/>
          </w:tcPr>
          <w:p w14:paraId="7945388C" w14:textId="77777777" w:rsidR="00727EA6" w:rsidRPr="001B6BFE" w:rsidRDefault="00727EA6" w:rsidP="00E36967">
            <w:pPr>
              <w:jc w:val="center"/>
            </w:pPr>
            <w:r w:rsidRPr="001B6BFE">
              <w:t>26</w:t>
            </w:r>
          </w:p>
        </w:tc>
        <w:tc>
          <w:tcPr>
            <w:tcW w:w="1008" w:type="dxa"/>
            <w:vAlign w:val="bottom"/>
          </w:tcPr>
          <w:p w14:paraId="6F975A41" w14:textId="77777777" w:rsidR="00727EA6" w:rsidRPr="001B6BFE" w:rsidRDefault="00727EA6" w:rsidP="00E36967">
            <w:pPr>
              <w:jc w:val="center"/>
              <w:rPr>
                <w:rFonts w:cs="Times New Roman"/>
                <w:szCs w:val="24"/>
              </w:rPr>
            </w:pPr>
            <w:r w:rsidRPr="001B6BFE">
              <w:rPr>
                <w:rFonts w:cs="Times New Roman"/>
                <w:szCs w:val="24"/>
              </w:rPr>
              <w:t>30</w:t>
            </w:r>
          </w:p>
        </w:tc>
        <w:tc>
          <w:tcPr>
            <w:tcW w:w="1008" w:type="dxa"/>
            <w:vAlign w:val="bottom"/>
          </w:tcPr>
          <w:p w14:paraId="1C6E5226" w14:textId="77777777" w:rsidR="00727EA6" w:rsidRPr="00E90083" w:rsidRDefault="00727EA6">
            <w:pPr>
              <w:jc w:val="center"/>
              <w:rPr>
                <w:rFonts w:cs="Times New Roman"/>
                <w:color w:val="000000"/>
              </w:rPr>
            </w:pPr>
            <w:r w:rsidRPr="00E90083">
              <w:rPr>
                <w:rFonts w:cs="Times New Roman"/>
                <w:color w:val="000000"/>
              </w:rPr>
              <w:t>13</w:t>
            </w:r>
          </w:p>
        </w:tc>
        <w:tc>
          <w:tcPr>
            <w:tcW w:w="1008" w:type="dxa"/>
            <w:vAlign w:val="bottom"/>
          </w:tcPr>
          <w:p w14:paraId="4F5229E3" w14:textId="77777777" w:rsidR="00727EA6" w:rsidRPr="001B6BFE" w:rsidRDefault="00727EA6">
            <w:pPr>
              <w:jc w:val="center"/>
            </w:pPr>
            <w:r>
              <w:t>40</w:t>
            </w:r>
          </w:p>
        </w:tc>
        <w:tc>
          <w:tcPr>
            <w:tcW w:w="1008" w:type="dxa"/>
            <w:vAlign w:val="bottom"/>
          </w:tcPr>
          <w:p w14:paraId="1E1DB824" w14:textId="77777777" w:rsidR="00727EA6" w:rsidRPr="00727EA6" w:rsidRDefault="00727EA6">
            <w:pPr>
              <w:jc w:val="center"/>
              <w:rPr>
                <w:rFonts w:cs="Times New Roman"/>
                <w:color w:val="000000"/>
                <w:szCs w:val="24"/>
              </w:rPr>
            </w:pPr>
            <w:r w:rsidRPr="00727EA6">
              <w:rPr>
                <w:rFonts w:cs="Times New Roman"/>
                <w:color w:val="000000"/>
                <w:szCs w:val="24"/>
              </w:rPr>
              <w:t>7</w:t>
            </w:r>
          </w:p>
        </w:tc>
        <w:tc>
          <w:tcPr>
            <w:tcW w:w="1008" w:type="dxa"/>
            <w:vAlign w:val="bottom"/>
          </w:tcPr>
          <w:p w14:paraId="752E0C46" w14:textId="77777777" w:rsidR="00727EA6" w:rsidRPr="001B6BFE" w:rsidRDefault="00727EA6" w:rsidP="00E36967">
            <w:pPr>
              <w:jc w:val="center"/>
            </w:pPr>
            <w:r w:rsidRPr="001B6BFE">
              <w:t>0</w:t>
            </w:r>
          </w:p>
        </w:tc>
        <w:tc>
          <w:tcPr>
            <w:tcW w:w="1008" w:type="dxa"/>
            <w:vAlign w:val="bottom"/>
          </w:tcPr>
          <w:p w14:paraId="0299D969" w14:textId="77777777" w:rsidR="00727EA6" w:rsidRPr="00E90083" w:rsidRDefault="00E90083">
            <w:pPr>
              <w:jc w:val="center"/>
              <w:rPr>
                <w:rFonts w:cs="Times New Roman"/>
                <w:color w:val="000000"/>
              </w:rPr>
            </w:pPr>
            <w:r>
              <w:rPr>
                <w:rFonts w:cs="Times New Roman"/>
                <w:color w:val="000000"/>
              </w:rPr>
              <w:t>17</w:t>
            </w:r>
          </w:p>
        </w:tc>
      </w:tr>
      <w:tr w:rsidR="00727EA6" w14:paraId="059734A1" w14:textId="77777777" w:rsidTr="001538B7">
        <w:tc>
          <w:tcPr>
            <w:tcW w:w="1260" w:type="dxa"/>
          </w:tcPr>
          <w:p w14:paraId="3557C967" w14:textId="77777777" w:rsidR="00727EA6" w:rsidRDefault="00727EA6" w:rsidP="00E36967">
            <w:pPr>
              <w:jc w:val="center"/>
            </w:pPr>
            <w:r>
              <w:t>40 – 49</w:t>
            </w:r>
          </w:p>
        </w:tc>
        <w:tc>
          <w:tcPr>
            <w:tcW w:w="1008" w:type="dxa"/>
            <w:vAlign w:val="bottom"/>
          </w:tcPr>
          <w:p w14:paraId="03D6322A" w14:textId="77777777" w:rsidR="00727EA6" w:rsidRPr="001B6BFE" w:rsidRDefault="00727EA6">
            <w:pPr>
              <w:jc w:val="center"/>
              <w:rPr>
                <w:rFonts w:cs="Times New Roman"/>
                <w:szCs w:val="24"/>
              </w:rPr>
            </w:pPr>
            <w:r w:rsidRPr="001B6BFE">
              <w:rPr>
                <w:rFonts w:cs="Times New Roman"/>
                <w:szCs w:val="24"/>
              </w:rPr>
              <w:t>3</w:t>
            </w:r>
          </w:p>
        </w:tc>
        <w:tc>
          <w:tcPr>
            <w:tcW w:w="1008" w:type="dxa"/>
            <w:vAlign w:val="bottom"/>
          </w:tcPr>
          <w:p w14:paraId="4B4F1C25" w14:textId="77777777" w:rsidR="00727EA6" w:rsidRPr="001B6BFE" w:rsidRDefault="00727EA6">
            <w:pPr>
              <w:jc w:val="center"/>
            </w:pPr>
            <w:r w:rsidRPr="001B6BFE">
              <w:t>0</w:t>
            </w:r>
          </w:p>
        </w:tc>
        <w:tc>
          <w:tcPr>
            <w:tcW w:w="1008" w:type="dxa"/>
            <w:vAlign w:val="bottom"/>
          </w:tcPr>
          <w:p w14:paraId="34F79BB2" w14:textId="77777777" w:rsidR="00727EA6" w:rsidRPr="001B6BFE" w:rsidRDefault="00727EA6" w:rsidP="00E36967">
            <w:pPr>
              <w:jc w:val="center"/>
            </w:pPr>
            <w:r w:rsidRPr="001B6BFE">
              <w:t>13</w:t>
            </w:r>
          </w:p>
        </w:tc>
        <w:tc>
          <w:tcPr>
            <w:tcW w:w="1008" w:type="dxa"/>
            <w:vAlign w:val="bottom"/>
          </w:tcPr>
          <w:p w14:paraId="1A1CD6DB" w14:textId="77777777" w:rsidR="00727EA6" w:rsidRPr="001B6BFE" w:rsidRDefault="00727EA6" w:rsidP="00E36967">
            <w:pPr>
              <w:jc w:val="center"/>
              <w:rPr>
                <w:rFonts w:cs="Times New Roman"/>
                <w:szCs w:val="24"/>
              </w:rPr>
            </w:pPr>
            <w:r w:rsidRPr="001B6BFE">
              <w:rPr>
                <w:rFonts w:cs="Times New Roman"/>
                <w:szCs w:val="24"/>
              </w:rPr>
              <w:t>21</w:t>
            </w:r>
          </w:p>
        </w:tc>
        <w:tc>
          <w:tcPr>
            <w:tcW w:w="1008" w:type="dxa"/>
            <w:vAlign w:val="bottom"/>
          </w:tcPr>
          <w:p w14:paraId="5F6B4535" w14:textId="77777777" w:rsidR="00727EA6" w:rsidRPr="00E90083" w:rsidRDefault="00727EA6">
            <w:pPr>
              <w:jc w:val="center"/>
              <w:rPr>
                <w:rFonts w:cs="Times New Roman"/>
                <w:color w:val="000000"/>
              </w:rPr>
            </w:pPr>
            <w:r w:rsidRPr="00E90083">
              <w:rPr>
                <w:rFonts w:cs="Times New Roman"/>
                <w:color w:val="000000"/>
              </w:rPr>
              <w:t>5</w:t>
            </w:r>
          </w:p>
        </w:tc>
        <w:tc>
          <w:tcPr>
            <w:tcW w:w="1008" w:type="dxa"/>
            <w:vAlign w:val="bottom"/>
          </w:tcPr>
          <w:p w14:paraId="314ADE31" w14:textId="77777777" w:rsidR="00727EA6" w:rsidRPr="001B6BFE" w:rsidRDefault="00727EA6">
            <w:pPr>
              <w:jc w:val="center"/>
            </w:pPr>
            <w:r>
              <w:t>26</w:t>
            </w:r>
          </w:p>
        </w:tc>
        <w:tc>
          <w:tcPr>
            <w:tcW w:w="1008" w:type="dxa"/>
            <w:vAlign w:val="bottom"/>
          </w:tcPr>
          <w:p w14:paraId="203AD2C6" w14:textId="77777777" w:rsidR="00727EA6" w:rsidRPr="00727EA6" w:rsidRDefault="00727EA6">
            <w:pPr>
              <w:jc w:val="center"/>
              <w:rPr>
                <w:rFonts w:cs="Times New Roman"/>
                <w:color w:val="000000"/>
                <w:szCs w:val="24"/>
              </w:rPr>
            </w:pPr>
            <w:r w:rsidRPr="00727EA6">
              <w:rPr>
                <w:rFonts w:cs="Times New Roman"/>
                <w:color w:val="000000"/>
                <w:szCs w:val="24"/>
              </w:rPr>
              <w:t>2</w:t>
            </w:r>
          </w:p>
        </w:tc>
        <w:tc>
          <w:tcPr>
            <w:tcW w:w="1008" w:type="dxa"/>
            <w:vAlign w:val="bottom"/>
          </w:tcPr>
          <w:p w14:paraId="0BB4A8A9" w14:textId="77777777" w:rsidR="00727EA6" w:rsidRPr="001B6BFE" w:rsidRDefault="00727EA6" w:rsidP="00E36967">
            <w:pPr>
              <w:jc w:val="center"/>
            </w:pPr>
            <w:r w:rsidRPr="001B6BFE">
              <w:t>0</w:t>
            </w:r>
          </w:p>
        </w:tc>
        <w:tc>
          <w:tcPr>
            <w:tcW w:w="1008" w:type="dxa"/>
            <w:vAlign w:val="bottom"/>
          </w:tcPr>
          <w:p w14:paraId="2CB70DBF" w14:textId="77777777" w:rsidR="00727EA6" w:rsidRPr="00E90083" w:rsidRDefault="00E90083" w:rsidP="00E90083">
            <w:pPr>
              <w:jc w:val="center"/>
              <w:rPr>
                <w:rFonts w:cs="Times New Roman"/>
                <w:color w:val="000000"/>
              </w:rPr>
            </w:pPr>
            <w:r>
              <w:rPr>
                <w:rFonts w:cs="Times New Roman"/>
                <w:color w:val="000000"/>
              </w:rPr>
              <w:t>11</w:t>
            </w:r>
          </w:p>
        </w:tc>
      </w:tr>
      <w:tr w:rsidR="00727EA6" w14:paraId="3E92C541" w14:textId="77777777" w:rsidTr="001538B7">
        <w:tc>
          <w:tcPr>
            <w:tcW w:w="1260" w:type="dxa"/>
          </w:tcPr>
          <w:p w14:paraId="14CAA89B" w14:textId="77777777" w:rsidR="00727EA6" w:rsidRDefault="00727EA6" w:rsidP="00E36967">
            <w:pPr>
              <w:jc w:val="center"/>
            </w:pPr>
            <w:r>
              <w:t>50 – 59</w:t>
            </w:r>
          </w:p>
        </w:tc>
        <w:tc>
          <w:tcPr>
            <w:tcW w:w="1008" w:type="dxa"/>
            <w:vAlign w:val="bottom"/>
          </w:tcPr>
          <w:p w14:paraId="3DB30AEA" w14:textId="77777777" w:rsidR="00727EA6" w:rsidRPr="001B6BFE" w:rsidRDefault="00727EA6">
            <w:pPr>
              <w:jc w:val="center"/>
              <w:rPr>
                <w:rFonts w:cs="Times New Roman"/>
                <w:szCs w:val="24"/>
              </w:rPr>
            </w:pPr>
            <w:r w:rsidRPr="001B6BFE">
              <w:rPr>
                <w:rFonts w:cs="Times New Roman"/>
                <w:szCs w:val="24"/>
              </w:rPr>
              <w:t>12</w:t>
            </w:r>
          </w:p>
        </w:tc>
        <w:tc>
          <w:tcPr>
            <w:tcW w:w="1008" w:type="dxa"/>
            <w:vAlign w:val="bottom"/>
          </w:tcPr>
          <w:p w14:paraId="18B68D39" w14:textId="77777777" w:rsidR="00727EA6" w:rsidRPr="001B6BFE" w:rsidRDefault="00727EA6">
            <w:pPr>
              <w:jc w:val="center"/>
            </w:pPr>
            <w:r w:rsidRPr="001B6BFE">
              <w:t>0</w:t>
            </w:r>
          </w:p>
        </w:tc>
        <w:tc>
          <w:tcPr>
            <w:tcW w:w="1008" w:type="dxa"/>
            <w:vAlign w:val="bottom"/>
          </w:tcPr>
          <w:p w14:paraId="2E5491DC" w14:textId="77777777" w:rsidR="00727EA6" w:rsidRPr="001B6BFE" w:rsidRDefault="00727EA6" w:rsidP="00E36967">
            <w:pPr>
              <w:jc w:val="center"/>
            </w:pPr>
            <w:r w:rsidRPr="001B6BFE">
              <w:t>22</w:t>
            </w:r>
          </w:p>
        </w:tc>
        <w:tc>
          <w:tcPr>
            <w:tcW w:w="1008" w:type="dxa"/>
            <w:vAlign w:val="bottom"/>
          </w:tcPr>
          <w:p w14:paraId="7D6C69B4" w14:textId="77777777" w:rsidR="00727EA6" w:rsidRPr="001B6BFE" w:rsidRDefault="00727EA6" w:rsidP="00E36967">
            <w:pPr>
              <w:jc w:val="center"/>
              <w:rPr>
                <w:rFonts w:cs="Times New Roman"/>
                <w:szCs w:val="24"/>
              </w:rPr>
            </w:pPr>
            <w:r w:rsidRPr="001B6BFE">
              <w:rPr>
                <w:rFonts w:cs="Times New Roman"/>
                <w:szCs w:val="24"/>
              </w:rPr>
              <w:t>16</w:t>
            </w:r>
          </w:p>
        </w:tc>
        <w:tc>
          <w:tcPr>
            <w:tcW w:w="1008" w:type="dxa"/>
            <w:vAlign w:val="bottom"/>
          </w:tcPr>
          <w:p w14:paraId="432014DA" w14:textId="77777777" w:rsidR="00727EA6" w:rsidRPr="00E90083" w:rsidRDefault="00727EA6">
            <w:pPr>
              <w:jc w:val="center"/>
              <w:rPr>
                <w:rFonts w:cs="Times New Roman"/>
                <w:color w:val="000000"/>
              </w:rPr>
            </w:pPr>
            <w:r w:rsidRPr="00E90083">
              <w:rPr>
                <w:rFonts w:cs="Times New Roman"/>
                <w:color w:val="000000"/>
              </w:rPr>
              <w:t>13</w:t>
            </w:r>
          </w:p>
        </w:tc>
        <w:tc>
          <w:tcPr>
            <w:tcW w:w="1008" w:type="dxa"/>
            <w:vAlign w:val="bottom"/>
          </w:tcPr>
          <w:p w14:paraId="40CCCFC7" w14:textId="77777777" w:rsidR="00727EA6" w:rsidRPr="001B6BFE" w:rsidRDefault="00727EA6">
            <w:pPr>
              <w:jc w:val="center"/>
            </w:pPr>
            <w:r>
              <w:t>27</w:t>
            </w:r>
          </w:p>
        </w:tc>
        <w:tc>
          <w:tcPr>
            <w:tcW w:w="1008" w:type="dxa"/>
            <w:vAlign w:val="bottom"/>
          </w:tcPr>
          <w:p w14:paraId="0C4BE44E" w14:textId="77777777" w:rsidR="00727EA6" w:rsidRPr="00727EA6" w:rsidRDefault="00727EA6">
            <w:pPr>
              <w:jc w:val="center"/>
              <w:rPr>
                <w:rFonts w:cs="Times New Roman"/>
                <w:color w:val="000000"/>
                <w:szCs w:val="24"/>
              </w:rPr>
            </w:pPr>
            <w:r w:rsidRPr="00727EA6">
              <w:rPr>
                <w:rFonts w:cs="Times New Roman"/>
                <w:color w:val="000000"/>
                <w:szCs w:val="24"/>
              </w:rPr>
              <w:t>1</w:t>
            </w:r>
          </w:p>
        </w:tc>
        <w:tc>
          <w:tcPr>
            <w:tcW w:w="1008" w:type="dxa"/>
            <w:vAlign w:val="bottom"/>
          </w:tcPr>
          <w:p w14:paraId="56824419" w14:textId="77777777" w:rsidR="00727EA6" w:rsidRPr="001B6BFE" w:rsidRDefault="00727EA6" w:rsidP="00E36967">
            <w:pPr>
              <w:jc w:val="center"/>
            </w:pPr>
            <w:r w:rsidRPr="001B6BFE">
              <w:t>0</w:t>
            </w:r>
          </w:p>
        </w:tc>
        <w:tc>
          <w:tcPr>
            <w:tcW w:w="1008" w:type="dxa"/>
            <w:vAlign w:val="bottom"/>
          </w:tcPr>
          <w:p w14:paraId="5E7B6306" w14:textId="77777777" w:rsidR="00727EA6" w:rsidRPr="00E90083" w:rsidRDefault="00E90083">
            <w:pPr>
              <w:jc w:val="center"/>
              <w:rPr>
                <w:rFonts w:cs="Times New Roman"/>
                <w:color w:val="000000"/>
              </w:rPr>
            </w:pPr>
            <w:r>
              <w:rPr>
                <w:rFonts w:cs="Times New Roman"/>
                <w:color w:val="000000"/>
              </w:rPr>
              <w:t>12</w:t>
            </w:r>
          </w:p>
        </w:tc>
      </w:tr>
      <w:tr w:rsidR="00727EA6" w14:paraId="756107B8" w14:textId="77777777" w:rsidTr="008D1D1B">
        <w:tc>
          <w:tcPr>
            <w:tcW w:w="1260" w:type="dxa"/>
            <w:tcBorders>
              <w:bottom w:val="single" w:sz="4" w:space="0" w:color="auto"/>
            </w:tcBorders>
          </w:tcPr>
          <w:p w14:paraId="1FA633EB" w14:textId="77777777" w:rsidR="00727EA6" w:rsidRDefault="00727EA6" w:rsidP="00E36967">
            <w:pPr>
              <w:jc w:val="center"/>
            </w:pPr>
            <w:r>
              <w:t>60 – 69</w:t>
            </w:r>
          </w:p>
        </w:tc>
        <w:tc>
          <w:tcPr>
            <w:tcW w:w="1008" w:type="dxa"/>
            <w:tcBorders>
              <w:bottom w:val="single" w:sz="4" w:space="0" w:color="auto"/>
            </w:tcBorders>
            <w:vAlign w:val="bottom"/>
          </w:tcPr>
          <w:p w14:paraId="46228807" w14:textId="77777777" w:rsidR="00727EA6" w:rsidRPr="001B6BFE" w:rsidRDefault="00727EA6">
            <w:pPr>
              <w:jc w:val="center"/>
              <w:rPr>
                <w:rFonts w:cs="Times New Roman"/>
                <w:szCs w:val="24"/>
              </w:rPr>
            </w:pPr>
            <w:r w:rsidRPr="001B6BFE">
              <w:rPr>
                <w:rFonts w:cs="Times New Roman"/>
                <w:szCs w:val="24"/>
              </w:rPr>
              <w:t>5</w:t>
            </w:r>
          </w:p>
        </w:tc>
        <w:tc>
          <w:tcPr>
            <w:tcW w:w="1008" w:type="dxa"/>
            <w:tcBorders>
              <w:bottom w:val="single" w:sz="4" w:space="0" w:color="auto"/>
            </w:tcBorders>
            <w:vAlign w:val="bottom"/>
          </w:tcPr>
          <w:p w14:paraId="35C93D39" w14:textId="77777777" w:rsidR="00727EA6" w:rsidRPr="001B6BFE" w:rsidRDefault="00727EA6">
            <w:pPr>
              <w:jc w:val="center"/>
            </w:pPr>
            <w:r w:rsidRPr="001B6BFE">
              <w:t>1</w:t>
            </w:r>
          </w:p>
        </w:tc>
        <w:tc>
          <w:tcPr>
            <w:tcW w:w="1008" w:type="dxa"/>
            <w:tcBorders>
              <w:bottom w:val="single" w:sz="4" w:space="0" w:color="auto"/>
            </w:tcBorders>
            <w:vAlign w:val="bottom"/>
          </w:tcPr>
          <w:p w14:paraId="043E94E5" w14:textId="77777777" w:rsidR="00727EA6" w:rsidRPr="001B6BFE" w:rsidRDefault="00727EA6" w:rsidP="00E36967">
            <w:pPr>
              <w:jc w:val="center"/>
            </w:pPr>
            <w:r w:rsidRPr="001B6BFE">
              <w:t>4</w:t>
            </w:r>
          </w:p>
        </w:tc>
        <w:tc>
          <w:tcPr>
            <w:tcW w:w="1008" w:type="dxa"/>
            <w:tcBorders>
              <w:bottom w:val="single" w:sz="4" w:space="0" w:color="auto"/>
            </w:tcBorders>
            <w:vAlign w:val="bottom"/>
          </w:tcPr>
          <w:p w14:paraId="6FE2B8DB" w14:textId="77777777" w:rsidR="00727EA6" w:rsidRPr="001B6BFE" w:rsidRDefault="00727EA6" w:rsidP="00E36967">
            <w:pPr>
              <w:jc w:val="center"/>
              <w:rPr>
                <w:rFonts w:cs="Times New Roman"/>
                <w:szCs w:val="24"/>
              </w:rPr>
            </w:pPr>
            <w:r w:rsidRPr="001B6BFE">
              <w:rPr>
                <w:rFonts w:cs="Times New Roman"/>
                <w:szCs w:val="24"/>
              </w:rPr>
              <w:t>6</w:t>
            </w:r>
          </w:p>
        </w:tc>
        <w:tc>
          <w:tcPr>
            <w:tcW w:w="1008" w:type="dxa"/>
            <w:tcBorders>
              <w:bottom w:val="single" w:sz="4" w:space="0" w:color="auto"/>
            </w:tcBorders>
            <w:vAlign w:val="bottom"/>
          </w:tcPr>
          <w:p w14:paraId="67DA9514" w14:textId="77777777" w:rsidR="00727EA6" w:rsidRPr="00E90083" w:rsidRDefault="00727EA6">
            <w:pPr>
              <w:jc w:val="center"/>
              <w:rPr>
                <w:rFonts w:cs="Times New Roman"/>
                <w:color w:val="000000"/>
              </w:rPr>
            </w:pPr>
            <w:r w:rsidRPr="00E90083">
              <w:rPr>
                <w:rFonts w:cs="Times New Roman"/>
                <w:color w:val="000000"/>
              </w:rPr>
              <w:t>3</w:t>
            </w:r>
          </w:p>
        </w:tc>
        <w:tc>
          <w:tcPr>
            <w:tcW w:w="1008" w:type="dxa"/>
            <w:tcBorders>
              <w:bottom w:val="single" w:sz="4" w:space="0" w:color="auto"/>
            </w:tcBorders>
            <w:vAlign w:val="bottom"/>
          </w:tcPr>
          <w:p w14:paraId="47961348" w14:textId="77777777" w:rsidR="00727EA6" w:rsidRPr="001B6BFE" w:rsidRDefault="00727EA6">
            <w:pPr>
              <w:jc w:val="center"/>
            </w:pPr>
            <w:r>
              <w:t>10</w:t>
            </w:r>
          </w:p>
        </w:tc>
        <w:tc>
          <w:tcPr>
            <w:tcW w:w="1008" w:type="dxa"/>
            <w:tcBorders>
              <w:bottom w:val="single" w:sz="4" w:space="0" w:color="auto"/>
            </w:tcBorders>
            <w:vAlign w:val="bottom"/>
          </w:tcPr>
          <w:p w14:paraId="636E8406" w14:textId="77777777" w:rsidR="00727EA6" w:rsidRPr="00727EA6" w:rsidRDefault="00727EA6">
            <w:pPr>
              <w:jc w:val="center"/>
              <w:rPr>
                <w:rFonts w:cs="Times New Roman"/>
                <w:color w:val="000000"/>
                <w:szCs w:val="24"/>
              </w:rPr>
            </w:pPr>
            <w:r w:rsidRPr="00727EA6">
              <w:rPr>
                <w:rFonts w:cs="Times New Roman"/>
                <w:color w:val="000000"/>
                <w:szCs w:val="24"/>
              </w:rPr>
              <w:t>0</w:t>
            </w:r>
          </w:p>
        </w:tc>
        <w:tc>
          <w:tcPr>
            <w:tcW w:w="1008" w:type="dxa"/>
            <w:tcBorders>
              <w:bottom w:val="single" w:sz="4" w:space="0" w:color="auto"/>
            </w:tcBorders>
            <w:vAlign w:val="bottom"/>
          </w:tcPr>
          <w:p w14:paraId="21CBD657" w14:textId="77777777" w:rsidR="00727EA6" w:rsidRPr="001B6BFE" w:rsidRDefault="00727EA6" w:rsidP="00E36967">
            <w:pPr>
              <w:jc w:val="center"/>
            </w:pPr>
            <w:r w:rsidRPr="001B6BFE">
              <w:t>0</w:t>
            </w:r>
          </w:p>
        </w:tc>
        <w:tc>
          <w:tcPr>
            <w:tcW w:w="1008" w:type="dxa"/>
            <w:tcBorders>
              <w:bottom w:val="single" w:sz="4" w:space="0" w:color="auto"/>
            </w:tcBorders>
            <w:vAlign w:val="bottom"/>
          </w:tcPr>
          <w:p w14:paraId="23EA7A42" w14:textId="77777777" w:rsidR="00727EA6" w:rsidRPr="00E90083" w:rsidRDefault="00E90083">
            <w:pPr>
              <w:jc w:val="center"/>
              <w:rPr>
                <w:rFonts w:cs="Times New Roman"/>
                <w:color w:val="000000"/>
              </w:rPr>
            </w:pPr>
            <w:r>
              <w:rPr>
                <w:rFonts w:cs="Times New Roman"/>
                <w:color w:val="000000"/>
              </w:rPr>
              <w:t>2</w:t>
            </w:r>
          </w:p>
        </w:tc>
      </w:tr>
      <w:tr w:rsidR="00727EA6" w14:paraId="7941DA3E" w14:textId="77777777" w:rsidTr="008D1D1B">
        <w:tc>
          <w:tcPr>
            <w:tcW w:w="1260" w:type="dxa"/>
            <w:tcBorders>
              <w:bottom w:val="single" w:sz="12" w:space="0" w:color="auto"/>
            </w:tcBorders>
          </w:tcPr>
          <w:p w14:paraId="26722491" w14:textId="77777777" w:rsidR="00727EA6" w:rsidRDefault="00727EA6" w:rsidP="00E36967">
            <w:pPr>
              <w:jc w:val="center"/>
            </w:pPr>
            <w:r>
              <w:rPr>
                <w:rFonts w:cs="Times New Roman"/>
              </w:rPr>
              <w:t>≥</w:t>
            </w:r>
            <w:r>
              <w:t xml:space="preserve"> 70</w:t>
            </w:r>
          </w:p>
        </w:tc>
        <w:tc>
          <w:tcPr>
            <w:tcW w:w="1008" w:type="dxa"/>
            <w:tcBorders>
              <w:bottom w:val="single" w:sz="12" w:space="0" w:color="auto"/>
            </w:tcBorders>
            <w:vAlign w:val="bottom"/>
          </w:tcPr>
          <w:p w14:paraId="03F198EF" w14:textId="77777777" w:rsidR="00727EA6" w:rsidRPr="001B6BFE" w:rsidRDefault="00727EA6">
            <w:pPr>
              <w:jc w:val="center"/>
              <w:rPr>
                <w:rFonts w:cs="Times New Roman"/>
                <w:szCs w:val="24"/>
              </w:rPr>
            </w:pPr>
            <w:r w:rsidRPr="001B6BFE">
              <w:rPr>
                <w:rFonts w:cs="Times New Roman"/>
                <w:szCs w:val="24"/>
              </w:rPr>
              <w:t>5</w:t>
            </w:r>
          </w:p>
        </w:tc>
        <w:tc>
          <w:tcPr>
            <w:tcW w:w="1008" w:type="dxa"/>
            <w:tcBorders>
              <w:bottom w:val="single" w:sz="12" w:space="0" w:color="auto"/>
            </w:tcBorders>
            <w:vAlign w:val="bottom"/>
          </w:tcPr>
          <w:p w14:paraId="6684BC86" w14:textId="77777777" w:rsidR="00727EA6" w:rsidRPr="001B6BFE" w:rsidRDefault="00727EA6">
            <w:pPr>
              <w:jc w:val="center"/>
            </w:pPr>
            <w:r w:rsidRPr="001B6BFE">
              <w:t>2</w:t>
            </w:r>
          </w:p>
        </w:tc>
        <w:tc>
          <w:tcPr>
            <w:tcW w:w="1008" w:type="dxa"/>
            <w:tcBorders>
              <w:bottom w:val="single" w:sz="12" w:space="0" w:color="auto"/>
            </w:tcBorders>
            <w:vAlign w:val="bottom"/>
          </w:tcPr>
          <w:p w14:paraId="0D414743" w14:textId="77777777" w:rsidR="00727EA6" w:rsidRPr="001B6BFE" w:rsidRDefault="00727EA6" w:rsidP="00E36967">
            <w:pPr>
              <w:jc w:val="center"/>
            </w:pPr>
            <w:r w:rsidRPr="001B6BFE">
              <w:t>7</w:t>
            </w:r>
          </w:p>
        </w:tc>
        <w:tc>
          <w:tcPr>
            <w:tcW w:w="1008" w:type="dxa"/>
            <w:tcBorders>
              <w:bottom w:val="single" w:sz="12" w:space="0" w:color="auto"/>
            </w:tcBorders>
            <w:vAlign w:val="bottom"/>
          </w:tcPr>
          <w:p w14:paraId="1C577C01" w14:textId="77777777" w:rsidR="00727EA6" w:rsidRPr="001B6BFE" w:rsidRDefault="00727EA6" w:rsidP="00E36967">
            <w:pPr>
              <w:jc w:val="center"/>
              <w:rPr>
                <w:rFonts w:cs="Times New Roman"/>
                <w:szCs w:val="24"/>
              </w:rPr>
            </w:pPr>
            <w:r w:rsidRPr="001B6BFE">
              <w:rPr>
                <w:rFonts w:cs="Times New Roman"/>
                <w:szCs w:val="24"/>
              </w:rPr>
              <w:t>5</w:t>
            </w:r>
          </w:p>
        </w:tc>
        <w:tc>
          <w:tcPr>
            <w:tcW w:w="1008" w:type="dxa"/>
            <w:tcBorders>
              <w:bottom w:val="single" w:sz="12" w:space="0" w:color="auto"/>
            </w:tcBorders>
            <w:vAlign w:val="bottom"/>
          </w:tcPr>
          <w:p w14:paraId="633D01B6" w14:textId="77777777" w:rsidR="00727EA6" w:rsidRPr="00E90083" w:rsidRDefault="00727EA6">
            <w:pPr>
              <w:jc w:val="center"/>
              <w:rPr>
                <w:rFonts w:cs="Times New Roman"/>
                <w:color w:val="000000"/>
              </w:rPr>
            </w:pPr>
            <w:r w:rsidRPr="00E90083">
              <w:rPr>
                <w:rFonts w:cs="Times New Roman"/>
                <w:color w:val="000000"/>
              </w:rPr>
              <w:t>3</w:t>
            </w:r>
          </w:p>
        </w:tc>
        <w:tc>
          <w:tcPr>
            <w:tcW w:w="1008" w:type="dxa"/>
            <w:tcBorders>
              <w:bottom w:val="single" w:sz="12" w:space="0" w:color="auto"/>
            </w:tcBorders>
            <w:vAlign w:val="bottom"/>
          </w:tcPr>
          <w:p w14:paraId="36778AAB" w14:textId="77777777" w:rsidR="00727EA6" w:rsidRPr="001B6BFE" w:rsidRDefault="00727EA6">
            <w:pPr>
              <w:jc w:val="center"/>
            </w:pPr>
            <w:r>
              <w:t>10</w:t>
            </w:r>
          </w:p>
        </w:tc>
        <w:tc>
          <w:tcPr>
            <w:tcW w:w="1008" w:type="dxa"/>
            <w:tcBorders>
              <w:bottom w:val="single" w:sz="12" w:space="0" w:color="auto"/>
            </w:tcBorders>
            <w:vAlign w:val="bottom"/>
          </w:tcPr>
          <w:p w14:paraId="230F9D03" w14:textId="77777777" w:rsidR="00727EA6" w:rsidRPr="00727EA6" w:rsidRDefault="00727EA6">
            <w:pPr>
              <w:jc w:val="center"/>
              <w:rPr>
                <w:rFonts w:cs="Times New Roman"/>
                <w:color w:val="000000"/>
                <w:szCs w:val="24"/>
              </w:rPr>
            </w:pPr>
            <w:r w:rsidRPr="00727EA6">
              <w:rPr>
                <w:rFonts w:cs="Times New Roman"/>
                <w:color w:val="000000"/>
                <w:szCs w:val="24"/>
              </w:rPr>
              <w:t>1</w:t>
            </w:r>
          </w:p>
        </w:tc>
        <w:tc>
          <w:tcPr>
            <w:tcW w:w="1008" w:type="dxa"/>
            <w:tcBorders>
              <w:bottom w:val="single" w:sz="12" w:space="0" w:color="auto"/>
            </w:tcBorders>
            <w:vAlign w:val="bottom"/>
          </w:tcPr>
          <w:p w14:paraId="29073C3B" w14:textId="77777777" w:rsidR="00727EA6" w:rsidRPr="001B6BFE" w:rsidRDefault="00727EA6" w:rsidP="00E36967">
            <w:pPr>
              <w:jc w:val="center"/>
            </w:pPr>
            <w:r w:rsidRPr="001B6BFE">
              <w:t>0</w:t>
            </w:r>
          </w:p>
        </w:tc>
        <w:tc>
          <w:tcPr>
            <w:tcW w:w="1008" w:type="dxa"/>
            <w:tcBorders>
              <w:bottom w:val="single" w:sz="12" w:space="0" w:color="auto"/>
            </w:tcBorders>
            <w:vAlign w:val="bottom"/>
          </w:tcPr>
          <w:p w14:paraId="159E697F" w14:textId="77777777" w:rsidR="00727EA6" w:rsidRPr="00E90083" w:rsidRDefault="00E90083">
            <w:pPr>
              <w:jc w:val="center"/>
              <w:rPr>
                <w:rFonts w:cs="Times New Roman"/>
                <w:color w:val="000000"/>
              </w:rPr>
            </w:pPr>
            <w:r>
              <w:rPr>
                <w:rFonts w:cs="Times New Roman"/>
                <w:color w:val="000000"/>
              </w:rPr>
              <w:t>2</w:t>
            </w:r>
          </w:p>
        </w:tc>
      </w:tr>
      <w:tr w:rsidR="00727EA6" w14:paraId="190A6147" w14:textId="77777777" w:rsidTr="008D1D1B">
        <w:tc>
          <w:tcPr>
            <w:tcW w:w="1260" w:type="dxa"/>
            <w:tcBorders>
              <w:top w:val="single" w:sz="12" w:space="0" w:color="auto"/>
            </w:tcBorders>
          </w:tcPr>
          <w:p w14:paraId="6E5E63B2" w14:textId="77777777" w:rsidR="00727EA6" w:rsidRDefault="00727EA6" w:rsidP="00E36967">
            <w:pPr>
              <w:jc w:val="center"/>
            </w:pPr>
            <w:r>
              <w:rPr>
                <w:rFonts w:cs="Times New Roman"/>
              </w:rPr>
              <w:t>Total</w:t>
            </w:r>
          </w:p>
        </w:tc>
        <w:tc>
          <w:tcPr>
            <w:tcW w:w="1008" w:type="dxa"/>
            <w:tcBorders>
              <w:top w:val="single" w:sz="12" w:space="0" w:color="auto"/>
            </w:tcBorders>
          </w:tcPr>
          <w:p w14:paraId="3623A883" w14:textId="77777777" w:rsidR="00727EA6" w:rsidRDefault="00727EA6" w:rsidP="00E36967">
            <w:pPr>
              <w:jc w:val="center"/>
            </w:pPr>
            <w:r>
              <w:t>35</w:t>
            </w:r>
          </w:p>
        </w:tc>
        <w:tc>
          <w:tcPr>
            <w:tcW w:w="1008" w:type="dxa"/>
            <w:tcBorders>
              <w:top w:val="single" w:sz="12" w:space="0" w:color="auto"/>
            </w:tcBorders>
          </w:tcPr>
          <w:p w14:paraId="11048561" w14:textId="77777777" w:rsidR="00727EA6" w:rsidRDefault="00727EA6" w:rsidP="00E36967">
            <w:pPr>
              <w:jc w:val="center"/>
            </w:pPr>
            <w:r>
              <w:t>3</w:t>
            </w:r>
          </w:p>
        </w:tc>
        <w:tc>
          <w:tcPr>
            <w:tcW w:w="1008" w:type="dxa"/>
            <w:tcBorders>
              <w:top w:val="single" w:sz="12" w:space="0" w:color="auto"/>
            </w:tcBorders>
          </w:tcPr>
          <w:p w14:paraId="757DA144" w14:textId="77777777" w:rsidR="00727EA6" w:rsidRDefault="00727EA6" w:rsidP="00E36967">
            <w:pPr>
              <w:jc w:val="center"/>
            </w:pPr>
            <w:r>
              <w:t>120</w:t>
            </w:r>
          </w:p>
        </w:tc>
        <w:tc>
          <w:tcPr>
            <w:tcW w:w="1008" w:type="dxa"/>
            <w:tcBorders>
              <w:top w:val="single" w:sz="12" w:space="0" w:color="auto"/>
            </w:tcBorders>
            <w:vAlign w:val="bottom"/>
          </w:tcPr>
          <w:p w14:paraId="6FA0B565" w14:textId="77777777" w:rsidR="00727EA6" w:rsidRPr="00B034AB" w:rsidRDefault="00727EA6" w:rsidP="00E36967">
            <w:pPr>
              <w:jc w:val="center"/>
              <w:rPr>
                <w:rFonts w:cs="Times New Roman"/>
                <w:color w:val="000000"/>
                <w:szCs w:val="24"/>
              </w:rPr>
            </w:pPr>
            <w:r>
              <w:rPr>
                <w:rFonts w:cs="Times New Roman"/>
                <w:color w:val="000000"/>
                <w:szCs w:val="24"/>
              </w:rPr>
              <w:t>132</w:t>
            </w:r>
          </w:p>
        </w:tc>
        <w:tc>
          <w:tcPr>
            <w:tcW w:w="1008" w:type="dxa"/>
            <w:tcBorders>
              <w:top w:val="single" w:sz="12" w:space="0" w:color="auto"/>
            </w:tcBorders>
          </w:tcPr>
          <w:p w14:paraId="035BE219" w14:textId="77777777" w:rsidR="00727EA6" w:rsidRDefault="00727EA6" w:rsidP="00E36967">
            <w:pPr>
              <w:jc w:val="center"/>
            </w:pPr>
            <w:r>
              <w:t>49</w:t>
            </w:r>
          </w:p>
        </w:tc>
        <w:tc>
          <w:tcPr>
            <w:tcW w:w="1008" w:type="dxa"/>
            <w:tcBorders>
              <w:top w:val="single" w:sz="12" w:space="0" w:color="auto"/>
            </w:tcBorders>
          </w:tcPr>
          <w:p w14:paraId="76FD9D0A" w14:textId="77777777" w:rsidR="00727EA6" w:rsidRDefault="00727EA6" w:rsidP="00E36967">
            <w:pPr>
              <w:jc w:val="center"/>
            </w:pPr>
            <w:r>
              <w:t>192</w:t>
            </w:r>
          </w:p>
        </w:tc>
        <w:tc>
          <w:tcPr>
            <w:tcW w:w="1008" w:type="dxa"/>
            <w:tcBorders>
              <w:top w:val="single" w:sz="12" w:space="0" w:color="auto"/>
            </w:tcBorders>
            <w:vAlign w:val="bottom"/>
          </w:tcPr>
          <w:p w14:paraId="7A7E7F2B" w14:textId="77777777" w:rsidR="00727EA6" w:rsidRPr="00B034AB" w:rsidRDefault="00727EA6" w:rsidP="00E36967">
            <w:pPr>
              <w:jc w:val="center"/>
              <w:rPr>
                <w:rFonts w:cs="Times New Roman"/>
                <w:color w:val="000000"/>
                <w:szCs w:val="24"/>
              </w:rPr>
            </w:pPr>
            <w:r>
              <w:rPr>
                <w:rFonts w:cs="Times New Roman"/>
                <w:color w:val="000000"/>
                <w:szCs w:val="24"/>
              </w:rPr>
              <w:t>30</w:t>
            </w:r>
          </w:p>
        </w:tc>
        <w:tc>
          <w:tcPr>
            <w:tcW w:w="1008" w:type="dxa"/>
            <w:tcBorders>
              <w:top w:val="single" w:sz="12" w:space="0" w:color="auto"/>
            </w:tcBorders>
            <w:vAlign w:val="bottom"/>
          </w:tcPr>
          <w:p w14:paraId="61E17C3F" w14:textId="77777777" w:rsidR="00727EA6" w:rsidRPr="00B034AB" w:rsidRDefault="00727EA6" w:rsidP="00E36967">
            <w:pPr>
              <w:jc w:val="center"/>
              <w:rPr>
                <w:rFonts w:cs="Times New Roman"/>
                <w:color w:val="000000"/>
                <w:szCs w:val="24"/>
              </w:rPr>
            </w:pPr>
            <w:r>
              <w:rPr>
                <w:rFonts w:cs="Times New Roman"/>
                <w:color w:val="000000"/>
                <w:szCs w:val="24"/>
              </w:rPr>
              <w:t>9</w:t>
            </w:r>
          </w:p>
        </w:tc>
        <w:tc>
          <w:tcPr>
            <w:tcW w:w="1008" w:type="dxa"/>
            <w:tcBorders>
              <w:top w:val="single" w:sz="12" w:space="0" w:color="auto"/>
            </w:tcBorders>
          </w:tcPr>
          <w:p w14:paraId="22685ED2" w14:textId="77777777" w:rsidR="00727EA6" w:rsidRDefault="00E90083" w:rsidP="00E36967">
            <w:pPr>
              <w:jc w:val="center"/>
              <w:rPr>
                <w:rFonts w:cs="Times New Roman"/>
                <w:color w:val="000000"/>
                <w:szCs w:val="24"/>
              </w:rPr>
            </w:pPr>
            <w:r>
              <w:rPr>
                <w:rFonts w:cs="Times New Roman"/>
                <w:color w:val="000000"/>
                <w:szCs w:val="24"/>
              </w:rPr>
              <w:t>82</w:t>
            </w:r>
          </w:p>
        </w:tc>
      </w:tr>
      <w:tr w:rsidR="00727EA6" w14:paraId="3AE29F9A" w14:textId="77777777" w:rsidTr="00727EA6">
        <w:tc>
          <w:tcPr>
            <w:tcW w:w="1260" w:type="dxa"/>
            <w:vAlign w:val="center"/>
          </w:tcPr>
          <w:p w14:paraId="3E42A31B" w14:textId="77777777" w:rsidR="00727EA6" w:rsidRDefault="00727EA6" w:rsidP="006F1740">
            <w:pPr>
              <w:jc w:val="center"/>
            </w:pPr>
            <w:r>
              <w:rPr>
                <w:rFonts w:cs="Times New Roman"/>
              </w:rPr>
              <w:t>Total %</w:t>
            </w:r>
          </w:p>
        </w:tc>
        <w:tc>
          <w:tcPr>
            <w:tcW w:w="1008" w:type="dxa"/>
            <w:vAlign w:val="center"/>
          </w:tcPr>
          <w:p w14:paraId="1D781322" w14:textId="77777777" w:rsidR="00727EA6" w:rsidRDefault="00727EA6" w:rsidP="006F1740">
            <w:pPr>
              <w:jc w:val="center"/>
            </w:pPr>
            <w:r>
              <w:t>14.4</w:t>
            </w:r>
          </w:p>
        </w:tc>
        <w:tc>
          <w:tcPr>
            <w:tcW w:w="1008" w:type="dxa"/>
            <w:vAlign w:val="center"/>
          </w:tcPr>
          <w:p w14:paraId="2282CE67" w14:textId="77777777" w:rsidR="00727EA6" w:rsidRDefault="00727EA6" w:rsidP="006F1740">
            <w:pPr>
              <w:jc w:val="center"/>
            </w:pPr>
            <w:r>
              <w:t>1.2</w:t>
            </w:r>
          </w:p>
        </w:tc>
        <w:tc>
          <w:tcPr>
            <w:tcW w:w="1008" w:type="dxa"/>
            <w:vAlign w:val="center"/>
          </w:tcPr>
          <w:p w14:paraId="0F351119" w14:textId="77777777" w:rsidR="00727EA6" w:rsidRDefault="00727EA6" w:rsidP="00E36967">
            <w:pPr>
              <w:jc w:val="center"/>
            </w:pPr>
            <w:r>
              <w:t>49.4</w:t>
            </w:r>
          </w:p>
        </w:tc>
        <w:tc>
          <w:tcPr>
            <w:tcW w:w="1008" w:type="dxa"/>
            <w:vAlign w:val="center"/>
          </w:tcPr>
          <w:p w14:paraId="01DDB118" w14:textId="77777777" w:rsidR="00727EA6" w:rsidRPr="00B034AB" w:rsidRDefault="00727EA6" w:rsidP="00E36967">
            <w:pPr>
              <w:jc w:val="center"/>
              <w:rPr>
                <w:rFonts w:cs="Times New Roman"/>
                <w:color w:val="000000"/>
                <w:szCs w:val="24"/>
              </w:rPr>
            </w:pPr>
            <w:r w:rsidRPr="00B034AB">
              <w:rPr>
                <w:rFonts w:cs="Times New Roman"/>
                <w:color w:val="000000"/>
                <w:szCs w:val="24"/>
              </w:rPr>
              <w:t>5</w:t>
            </w:r>
            <w:r>
              <w:rPr>
                <w:rFonts w:cs="Times New Roman"/>
                <w:color w:val="000000"/>
                <w:szCs w:val="24"/>
              </w:rPr>
              <w:t>4.3</w:t>
            </w:r>
          </w:p>
        </w:tc>
        <w:tc>
          <w:tcPr>
            <w:tcW w:w="1008" w:type="dxa"/>
            <w:vAlign w:val="center"/>
          </w:tcPr>
          <w:p w14:paraId="30DFA45C" w14:textId="77777777" w:rsidR="00727EA6" w:rsidRDefault="00727EA6" w:rsidP="00E36967">
            <w:pPr>
              <w:jc w:val="center"/>
            </w:pPr>
            <w:r>
              <w:t>20.2</w:t>
            </w:r>
          </w:p>
        </w:tc>
        <w:tc>
          <w:tcPr>
            <w:tcW w:w="1008" w:type="dxa"/>
            <w:vAlign w:val="center"/>
          </w:tcPr>
          <w:p w14:paraId="0EB13192" w14:textId="77777777" w:rsidR="00727EA6" w:rsidRDefault="00727EA6" w:rsidP="006F1740">
            <w:pPr>
              <w:jc w:val="center"/>
            </w:pPr>
            <w:r>
              <w:t>79.0</w:t>
            </w:r>
          </w:p>
        </w:tc>
        <w:tc>
          <w:tcPr>
            <w:tcW w:w="1008" w:type="dxa"/>
            <w:vAlign w:val="center"/>
          </w:tcPr>
          <w:p w14:paraId="3EC777D8" w14:textId="77777777" w:rsidR="00727EA6" w:rsidRPr="00B034AB" w:rsidRDefault="00727EA6" w:rsidP="00E36967">
            <w:pPr>
              <w:jc w:val="center"/>
              <w:rPr>
                <w:rFonts w:cs="Times New Roman"/>
                <w:color w:val="000000"/>
                <w:szCs w:val="24"/>
              </w:rPr>
            </w:pPr>
            <w:r>
              <w:rPr>
                <w:rFonts w:cs="Times New Roman"/>
                <w:color w:val="000000"/>
                <w:szCs w:val="24"/>
              </w:rPr>
              <w:t>12.3</w:t>
            </w:r>
          </w:p>
        </w:tc>
        <w:tc>
          <w:tcPr>
            <w:tcW w:w="1008" w:type="dxa"/>
            <w:vAlign w:val="center"/>
          </w:tcPr>
          <w:p w14:paraId="054D7017" w14:textId="77777777" w:rsidR="00727EA6" w:rsidRPr="00B034AB" w:rsidRDefault="00727EA6" w:rsidP="00E36967">
            <w:pPr>
              <w:jc w:val="center"/>
              <w:rPr>
                <w:rFonts w:cs="Times New Roman"/>
                <w:color w:val="000000"/>
                <w:szCs w:val="24"/>
              </w:rPr>
            </w:pPr>
            <w:r>
              <w:rPr>
                <w:rFonts w:cs="Times New Roman"/>
                <w:color w:val="000000"/>
                <w:szCs w:val="24"/>
              </w:rPr>
              <w:t>3.7</w:t>
            </w:r>
          </w:p>
        </w:tc>
        <w:tc>
          <w:tcPr>
            <w:tcW w:w="1008" w:type="dxa"/>
          </w:tcPr>
          <w:p w14:paraId="06D1D4F0" w14:textId="77777777" w:rsidR="00727EA6" w:rsidRDefault="00E90083" w:rsidP="00E36967">
            <w:pPr>
              <w:jc w:val="center"/>
              <w:rPr>
                <w:rFonts w:cs="Times New Roman"/>
                <w:color w:val="000000"/>
                <w:szCs w:val="24"/>
              </w:rPr>
            </w:pPr>
            <w:r>
              <w:rPr>
                <w:rFonts w:cs="Times New Roman"/>
                <w:color w:val="000000"/>
                <w:szCs w:val="24"/>
              </w:rPr>
              <w:t>33.8</w:t>
            </w:r>
          </w:p>
        </w:tc>
      </w:tr>
    </w:tbl>
    <w:p w14:paraId="2311BB6D" w14:textId="31BAF9E1" w:rsidR="006F1740" w:rsidRPr="00CE2868" w:rsidRDefault="001B6BFE" w:rsidP="00727EA6">
      <w:pPr>
        <w:spacing w:before="0"/>
        <w:ind w:left="-180" w:right="-180"/>
        <w:rPr>
          <w:sz w:val="20"/>
        </w:rPr>
      </w:pPr>
      <w:r>
        <w:rPr>
          <w:sz w:val="20"/>
        </w:rPr>
        <w:t>AAD, Advanced Autonomic Dysfunction, similar to Diabetic Autonomic Neuropathy without the blood sugar and insulin issues, indicates increased morbidity risk</w:t>
      </w:r>
      <w:r w:rsidR="006F1740">
        <w:rPr>
          <w:sz w:val="20"/>
        </w:rPr>
        <w:t xml:space="preserve">; </w:t>
      </w:r>
      <w:r>
        <w:rPr>
          <w:sz w:val="20"/>
        </w:rPr>
        <w:t>CAN, Cardiovascular Autonomic Neuropathy, indicates increased mortality risk</w:t>
      </w:r>
      <w:r w:rsidR="000F0C06">
        <w:rPr>
          <w:sz w:val="20"/>
        </w:rPr>
        <w:t xml:space="preserve">; HTN, Hypertension (resting BP &gt; 140/90 mmHg); </w:t>
      </w:r>
      <w:r w:rsidR="002424A8" w:rsidRPr="002424A8">
        <w:rPr>
          <w:sz w:val="20"/>
        </w:rPr>
        <w:t>OBPD</w:t>
      </w:r>
      <w:r w:rsidR="000F0C06">
        <w:rPr>
          <w:sz w:val="20"/>
        </w:rPr>
        <w:t xml:space="preserve">, Orthostatic </w:t>
      </w:r>
      <w:r w:rsidR="002424A8">
        <w:rPr>
          <w:sz w:val="20"/>
        </w:rPr>
        <w:t>BP Dysfunction</w:t>
      </w:r>
      <w:r w:rsidR="000F0C06">
        <w:rPr>
          <w:sz w:val="20"/>
        </w:rPr>
        <w:t>, includes SW with a drop in BP upon sta</w:t>
      </w:r>
      <w:r w:rsidR="007E15A5">
        <w:rPr>
          <w:sz w:val="20"/>
        </w:rPr>
        <w:t>nding and a dro</w:t>
      </w:r>
      <w:r w:rsidR="000F0C06">
        <w:rPr>
          <w:sz w:val="20"/>
        </w:rPr>
        <w:t>p in BP without SW</w:t>
      </w:r>
      <w:r w:rsidR="006F1740">
        <w:rPr>
          <w:sz w:val="20"/>
        </w:rPr>
        <w:t xml:space="preserve">; </w:t>
      </w:r>
      <w:r>
        <w:rPr>
          <w:sz w:val="20"/>
        </w:rPr>
        <w:t>PE, Parasympathetic Excess, an excessively abnormal increase in Parasympathetic activity in response to a Sympathetic challenge (</w:t>
      </w:r>
      <w:r>
        <w:rPr>
          <w:i/>
          <w:sz w:val="20"/>
        </w:rPr>
        <w:t>i.e.</w:t>
      </w:r>
      <w:r>
        <w:rPr>
          <w:sz w:val="20"/>
        </w:rPr>
        <w:t>, Valsalva challenge &gt;400%, or Stand &gt; 10%) as compared with rest.; POTS, Postural Orthostatic Tachycardia Syndrome</w:t>
      </w:r>
      <w:r w:rsidR="00727EA6">
        <w:rPr>
          <w:sz w:val="20"/>
        </w:rPr>
        <w:t>, SW with stand Tachycardia</w:t>
      </w:r>
      <w:r w:rsidR="000F0C06">
        <w:rPr>
          <w:sz w:val="20"/>
        </w:rPr>
        <w:t>; SW, Sympathetic Withdrawal, a &lt; 10% increase in Sympathetic activity in response to stand or upright posture as compared with rest</w:t>
      </w:r>
      <w:r w:rsidR="00727EA6">
        <w:rPr>
          <w:sz w:val="20"/>
        </w:rPr>
        <w:t>, and alpha-adrenergic response</w:t>
      </w:r>
      <w:r w:rsidR="000F0C06">
        <w:rPr>
          <w:sz w:val="20"/>
        </w:rPr>
        <w:t xml:space="preserve">; </w:t>
      </w:r>
      <w:proofErr w:type="spellStart"/>
      <w:r w:rsidR="000F0C06">
        <w:rPr>
          <w:sz w:val="20"/>
        </w:rPr>
        <w:t>Tachy</w:t>
      </w:r>
      <w:proofErr w:type="spellEnd"/>
      <w:r w:rsidR="000F0C06">
        <w:rPr>
          <w:sz w:val="20"/>
        </w:rPr>
        <w:t xml:space="preserve">, a resting Tachycardia, resting HR </w:t>
      </w:r>
      <w:r w:rsidR="00727EA6">
        <w:rPr>
          <w:rFonts w:cs="Times New Roman"/>
          <w:sz w:val="20"/>
        </w:rPr>
        <w:t>≥</w:t>
      </w:r>
      <w:r w:rsidR="00727EA6">
        <w:rPr>
          <w:sz w:val="20"/>
        </w:rPr>
        <w:t xml:space="preserve"> 100 bpm; VVS, Vasovagal Syncope, PE with stand Sympathetic Excess, a beta-adrenergic response</w:t>
      </w:r>
      <w:r>
        <w:rPr>
          <w:sz w:val="20"/>
        </w:rPr>
        <w:t>.</w:t>
      </w:r>
    </w:p>
    <w:p w14:paraId="7A500E53" w14:textId="77777777" w:rsidR="00C812CF" w:rsidRDefault="00C812CF" w:rsidP="00FC383A"/>
    <w:p w14:paraId="23950072" w14:textId="77777777" w:rsidR="00CF3DB9" w:rsidRDefault="00CF3DB9" w:rsidP="00DE6F3D">
      <w:pPr>
        <w:sectPr w:rsidR="00CF3DB9" w:rsidSect="001B30EA">
          <w:footnotePr>
            <w:numFmt w:val="chicago"/>
          </w:footnotePr>
          <w:endnotePr>
            <w:numFmt w:val="decimal"/>
          </w:endnotePr>
          <w:type w:val="continuous"/>
          <w:pgSz w:w="12240" w:h="15840"/>
          <w:pgMar w:top="1440" w:right="1440" w:bottom="1440" w:left="1440" w:header="720" w:footer="720" w:gutter="0"/>
          <w:cols w:space="720"/>
          <w:docGrid w:linePitch="360"/>
        </w:sectPr>
      </w:pPr>
    </w:p>
    <w:p w14:paraId="1B30A191" w14:textId="371E6A7E" w:rsidR="00D01836" w:rsidRDefault="00D01836" w:rsidP="00D01836">
      <w:r w:rsidRPr="00D01836">
        <w:t xml:space="preserve">Sympatholytics or reducing stress, including Psychosocial stress.  Overall, the P&amp;S data are a better match to the natural history and progression of </w:t>
      </w:r>
      <w:r w:rsidR="00B02411">
        <w:t>EDSh</w:t>
      </w:r>
      <w:r w:rsidRPr="00D01836">
        <w:t>.</w:t>
      </w:r>
    </w:p>
    <w:p w14:paraId="33B2EBE7" w14:textId="2ACBFE4E" w:rsidR="00DE6F3D" w:rsidRDefault="00DE6F3D" w:rsidP="00DE6F3D">
      <w:r>
        <w:t>Many patients present with prior diagnoses of depression and anxiety or psychiatric illness attributed to them, but they know they have something real and abnormal that is not purely psychiatric.  The patients hurt all over and have diffuse pain, which keeps them from functioning properly</w:t>
      </w:r>
      <w:r w:rsidR="001A7890">
        <w:t>.  They are often diagnosed as “Fibromyalgia” or “Chronic Pain Syndrome.”</w:t>
      </w:r>
      <w:r>
        <w:t xml:space="preserve">  Many cannot perform any gainful employment.  Certainly, they become anxious and depressed because of their non-functional status.  </w:t>
      </w:r>
      <w:r w:rsidR="00115AB7">
        <w:t>Dysautonomia</w:t>
      </w:r>
      <w:r>
        <w:t xml:space="preserve"> features, such as exercise intolerance, orthostatic intolerance </w:t>
      </w:r>
      <w:r w:rsidR="001A7890">
        <w:t>(</w:t>
      </w:r>
      <w:r>
        <w:t xml:space="preserve">where one cannot stand up without getting brain </w:t>
      </w:r>
      <w:r>
        <w:t>fog or dizzy</w:t>
      </w:r>
      <w:r w:rsidR="001A7890">
        <w:t>)</w:t>
      </w:r>
      <w:r>
        <w:t>, and chronic or persistent fatigue are almost universally present in these patients.  There is a high percentage of females with this problem, but we do also see males in addition, since it is believed that if a person has this disorder</w:t>
      </w:r>
      <w:r w:rsidR="00A31B54">
        <w:t>,</w:t>
      </w:r>
      <w:r>
        <w:t xml:space="preserve"> they can transmit it genetically to one or two of their children (autosomal dominant transmission).</w:t>
      </w:r>
    </w:p>
    <w:p w14:paraId="7210C78B" w14:textId="237092CA" w:rsidR="004532FD" w:rsidRPr="004532FD" w:rsidRDefault="00DE6F3D">
      <w:r>
        <w:t>It is well known that the P&amp;S is, generally, very active during development.  This level of activity</w:t>
      </w:r>
      <w:r w:rsidR="00275AB8">
        <w:t>,</w:t>
      </w:r>
      <w:r>
        <w:t xml:space="preserve"> </w:t>
      </w:r>
      <w:r w:rsidR="00275AB8">
        <w:t xml:space="preserve">masking any effects of excessive P&amp;S activity, </w:t>
      </w:r>
      <w:r>
        <w:t>may explain why symptoms do not present until after development.</w:t>
      </w:r>
      <w:r w:rsidR="00275AB8">
        <w:t xml:space="preserve">  </w:t>
      </w:r>
      <w:r w:rsidR="001A7890">
        <w:t>It has been postulated that</w:t>
      </w:r>
      <w:r w:rsidR="00275AB8">
        <w:t xml:space="preserve"> “leaky” connective tissue permitting foreign items to leak</w:t>
      </w:r>
      <w:r w:rsidR="00A31B54">
        <w:t xml:space="preserve"> </w:t>
      </w:r>
      <w:r w:rsidR="00275AB8">
        <w:t>in causes a persistently heightened immune response.  This in</w:t>
      </w:r>
      <w:r w:rsidR="00A31B54">
        <w:t xml:space="preserve"> </w:t>
      </w:r>
      <w:r w:rsidR="00275AB8">
        <w:t>turn leads to a persistent state of Parasympathetic Excess</w:t>
      </w:r>
      <w:r w:rsidR="00BD46D8">
        <w:t xml:space="preserve"> (PE)</w:t>
      </w:r>
      <w:r w:rsidR="00275AB8">
        <w:t>, mostly while active</w:t>
      </w:r>
      <w:r w:rsidR="00A31B54">
        <w:t>,</w:t>
      </w:r>
      <w:r w:rsidR="00275AB8">
        <w:t xml:space="preserve"> as well as for periods of time when younger at rest (see </w:t>
      </w:r>
      <w:r w:rsidR="00275AB8" w:rsidRPr="00275AB8">
        <w:fldChar w:fldCharType="begin"/>
      </w:r>
      <w:r w:rsidR="00275AB8" w:rsidRPr="00275AB8">
        <w:instrText xml:space="preserve"> REF _Ref57708935 \h  \* MERGEFORMAT </w:instrText>
      </w:r>
      <w:r w:rsidR="00275AB8" w:rsidRPr="00275AB8">
        <w:fldChar w:fldCharType="separate"/>
      </w:r>
      <w:r w:rsidR="00BD46D8" w:rsidRPr="00BD46D8">
        <w:t xml:space="preserve">Figure </w:t>
      </w:r>
      <w:r w:rsidR="00BD46D8" w:rsidRPr="00BD46D8">
        <w:rPr>
          <w:noProof/>
        </w:rPr>
        <w:t>3</w:t>
      </w:r>
      <w:r w:rsidR="00275AB8" w:rsidRPr="00275AB8">
        <w:fldChar w:fldCharType="end"/>
      </w:r>
      <w:r w:rsidR="00275AB8">
        <w:t xml:space="preserve">), as </w:t>
      </w:r>
      <w:r w:rsidR="00275AB8">
        <w:lastRenderedPageBreak/>
        <w:t xml:space="preserve">measured as high-normal SB (2.0 &lt; SB &lt; 3.0; see </w:t>
      </w:r>
      <w:r w:rsidR="00275AB8">
        <w:fldChar w:fldCharType="begin"/>
      </w:r>
      <w:r w:rsidR="00275AB8">
        <w:instrText xml:space="preserve"> REF _Ref57713872 \h </w:instrText>
      </w:r>
      <w:r w:rsidR="00275AB8">
        <w:fldChar w:fldCharType="separate"/>
      </w:r>
      <w:r w:rsidR="00BD46D8" w:rsidRPr="00FF7ED0">
        <w:t xml:space="preserve">Table </w:t>
      </w:r>
      <w:r w:rsidR="00BD46D8">
        <w:rPr>
          <w:noProof/>
        </w:rPr>
        <w:t>1</w:t>
      </w:r>
      <w:r w:rsidR="00275AB8">
        <w:fldChar w:fldCharType="end"/>
      </w:r>
      <w:r w:rsidR="00275AB8">
        <w:t>).  The persistent and prolonged stress on the more exposed and longer Parasympathetics (Vagal) nerves, including Oxidative Stress [</w:t>
      </w:r>
      <w:bookmarkStart w:id="13" w:name="_Ref62111239"/>
      <w:r w:rsidR="00275AB8" w:rsidRPr="00275AB8">
        <w:rPr>
          <w:rStyle w:val="EndnoteReference"/>
          <w:vertAlign w:val="baseline"/>
        </w:rPr>
        <w:endnoteReference w:id="11"/>
      </w:r>
      <w:bookmarkEnd w:id="13"/>
      <w:r w:rsidR="00275AB8">
        <w:t xml:space="preserve">], </w:t>
      </w:r>
      <w:r w:rsidR="004532FD">
        <w:t xml:space="preserve">tends to </w:t>
      </w:r>
      <w:r w:rsidR="00275AB8">
        <w:t>cause them to weaken first and fastest</w:t>
      </w:r>
      <w:r w:rsidR="004532FD">
        <w:t xml:space="preserve">.  The relative </w:t>
      </w:r>
      <w:r w:rsidR="00BD46D8">
        <w:t>PE</w:t>
      </w:r>
      <w:r w:rsidR="004532FD">
        <w:t xml:space="preserve"> also forces a relative Sympathetic Excess (SE) which not only multipl</w:t>
      </w:r>
      <w:r w:rsidR="00BD46D8">
        <w:t>i</w:t>
      </w:r>
      <w:r w:rsidR="004532FD">
        <w:t>es symptoms</w:t>
      </w:r>
      <w:r w:rsidR="00BD46D8">
        <w:t>,</w:t>
      </w:r>
      <w:r w:rsidR="004532FD">
        <w:t xml:space="preserve"> b</w:t>
      </w:r>
      <w:r w:rsidR="00BD46D8">
        <w:t>ut</w:t>
      </w:r>
      <w:r w:rsidR="004532FD">
        <w:t xml:space="preserve"> </w:t>
      </w:r>
      <w:r w:rsidR="00BD46D8">
        <w:t>amplifies</w:t>
      </w:r>
      <w:r>
        <w:t xml:space="preserve"> symp</w:t>
      </w:r>
      <w:r w:rsidR="004532FD">
        <w:t>toms, such as Sympathetically-mediated pain and inflammation.  Unfortunately, there is no cure for P&amp;S imbalance in these patients.  Typically, with many other diseases and disorders, once P&amp;S balance is established, then the nervous system “learns” this new condition and maintain</w:t>
      </w:r>
      <w:r w:rsidR="00BD46D8">
        <w:t>s</w:t>
      </w:r>
      <w:r w:rsidR="004532FD">
        <w:t xml:space="preserve"> it until some other clinical event occurs.  Unfortunately</w:t>
      </w:r>
      <w:r w:rsidR="00B02411">
        <w:t>,</w:t>
      </w:r>
      <w:r w:rsidR="004532FD">
        <w:t xml:space="preserve"> in </w:t>
      </w:r>
      <w:r w:rsidR="00B02411">
        <w:t>EDSh</w:t>
      </w:r>
      <w:r w:rsidR="004532FD">
        <w:t xml:space="preserve">, the next clinical event, </w:t>
      </w:r>
      <w:r w:rsidR="004532FD">
        <w:rPr>
          <w:i/>
        </w:rPr>
        <w:t>per se</w:t>
      </w:r>
      <w:r w:rsidR="004532FD">
        <w:t xml:space="preserve"> (such as the next infection), is only moments away once it leaks into the body.  Therefore</w:t>
      </w:r>
      <w:r w:rsidR="00A31B54">
        <w:t>,</w:t>
      </w:r>
      <w:r w:rsidR="004532FD">
        <w:t xml:space="preserve"> ther</w:t>
      </w:r>
      <w:r w:rsidR="00352700">
        <w:t>e</w:t>
      </w:r>
      <w:r w:rsidR="004532FD">
        <w:t xml:space="preserve"> is also no real cure for P&amp;S imbalance due to </w:t>
      </w:r>
      <w:r w:rsidR="00B02411">
        <w:t>EDSh</w:t>
      </w:r>
      <w:r w:rsidR="004532FD">
        <w:t>, only the ability to treat it to maintain P&amp;S balance as much as possible as the system continues to degrade more rapidly than normal.</w:t>
      </w:r>
      <w:r w:rsidR="00352700">
        <w:t xml:space="preserve">  Fortunately, once the protocol for the individual patient is determined, it may be implemented immediately should a significant clinical event occur, including pregnancy</w:t>
      </w:r>
      <w:r w:rsidR="00A31B54">
        <w:t>,</w:t>
      </w:r>
      <w:r w:rsidR="00352700">
        <w:t xml:space="preserve"> where patients may need to suspend treatment during that time.</w:t>
      </w:r>
    </w:p>
    <w:p w14:paraId="08C41C68" w14:textId="74BD0A29" w:rsidR="00B05CE0" w:rsidRDefault="00B05CE0" w:rsidP="00B05CE0">
      <w:r>
        <w:t xml:space="preserve">Fatigue, exercise intolerance, shortness of breath, palpitations, and chest pains with which many patients with </w:t>
      </w:r>
      <w:r w:rsidR="00B02411">
        <w:t>EDSh</w:t>
      </w:r>
      <w:r>
        <w:t xml:space="preserve"> present are often the result of P&amp;S dysfunction</w:t>
      </w:r>
      <w:r w:rsidR="00352700">
        <w:t xml:space="preserve">.  This </w:t>
      </w:r>
      <w:r>
        <w:t xml:space="preserve">goes hand in hand with the </w:t>
      </w:r>
      <w:r w:rsidR="00B02411">
        <w:t>EDSh</w:t>
      </w:r>
      <w:r>
        <w:t xml:space="preserve">.  Even the amplified and generalized pain and inflammatory responses (not </w:t>
      </w:r>
      <w:r w:rsidR="00352700">
        <w:t>only</w:t>
      </w:r>
      <w:r>
        <w:t xml:space="preserve"> in the joints), anxiety, brain</w:t>
      </w:r>
      <w:r w:rsidR="00A31B54">
        <w:t xml:space="preserve"> </w:t>
      </w:r>
      <w:r>
        <w:t xml:space="preserve">fog, memory and cognitive difficulties, sleep difficulties, </w:t>
      </w:r>
      <w:r w:rsidR="00A31B54">
        <w:t xml:space="preserve">and </w:t>
      </w:r>
      <w:r>
        <w:t xml:space="preserve">GI motility issues, may be secondary to P&amp;S dysfunction caused by </w:t>
      </w:r>
      <w:r w:rsidR="00B02411">
        <w:t>EDSh</w:t>
      </w:r>
      <w:r w:rsidR="001A7890">
        <w:t>.  Many patients develop Small Fiber Disease</w:t>
      </w:r>
      <w:r w:rsidR="00A31B54">
        <w:t>,</w:t>
      </w:r>
      <w:r w:rsidR="001A7890">
        <w:t xml:space="preserve"> which is an inflammation or dysfunction of unmyelinated small, type C nerve fibers which carry autonomic and sensory, </w:t>
      </w:r>
      <w:r w:rsidR="001A7890">
        <w:t xml:space="preserve">including pain, signals.  Also, </w:t>
      </w:r>
      <w:r w:rsidR="00B02411">
        <w:t>EDSh</w:t>
      </w:r>
      <w:r w:rsidR="001A7890">
        <w:t xml:space="preserve"> is associated with Mast Cell hyperactivity</w:t>
      </w:r>
      <w:r w:rsidR="00A31B54">
        <w:t>,</w:t>
      </w:r>
      <w:r w:rsidR="001A7890">
        <w:t xml:space="preserve"> which manifests as episodic histaminergic over-production</w:t>
      </w:r>
      <w:r w:rsidR="00352700">
        <w:t>.  Mast Cell may be associated with Celiac disease and food allergies or sensitivities.  Leaky Gut Syndrome may be involved either as a result of histaminergic excess or leaky connective tissue</w:t>
      </w:r>
      <w:r w:rsidR="001A7890">
        <w:t xml:space="preserve">.  Histaminergic over-production </w:t>
      </w:r>
      <w:r w:rsidR="00633E0F">
        <w:t>may be associated with persistent or excessive Sympathetic activity secondary to PE</w:t>
      </w:r>
      <w:r>
        <w:t xml:space="preserve">.  This </w:t>
      </w:r>
      <w:r w:rsidR="004532FD">
        <w:t xml:space="preserve">may be </w:t>
      </w:r>
      <w:r>
        <w:t>test</w:t>
      </w:r>
      <w:r w:rsidR="004532FD">
        <w:t>ed</w:t>
      </w:r>
      <w:r>
        <w:t xml:space="preserve"> for objectively </w:t>
      </w:r>
      <w:r w:rsidR="004532FD">
        <w:t xml:space="preserve">and serially, </w:t>
      </w:r>
      <w:r>
        <w:t xml:space="preserve">with diagnostic test modalities that </w:t>
      </w:r>
      <w:r w:rsidR="004532FD">
        <w:t xml:space="preserve">provide </w:t>
      </w:r>
      <w:r>
        <w:t>quantitative information.</w:t>
      </w:r>
      <w:r w:rsidR="004532FD">
        <w:t xml:space="preserve">  This, in</w:t>
      </w:r>
      <w:r w:rsidR="00A31B54">
        <w:t xml:space="preserve"> </w:t>
      </w:r>
      <w:r w:rsidR="004532FD">
        <w:t>turn permits more individualized titration of therapy given the then current state of the patient’s nervous system.</w:t>
      </w:r>
    </w:p>
    <w:p w14:paraId="66826D76" w14:textId="133BCCCB" w:rsidR="00861CE0" w:rsidRDefault="00FE1603">
      <w:r>
        <w:t xml:space="preserve">One reason for the lack of understanding and recognition of the P&amp;S dysfunctions underlying </w:t>
      </w:r>
      <w:r w:rsidR="00B02411">
        <w:t>EDSh</w:t>
      </w:r>
      <w:r>
        <w:t xml:space="preserve"> is the fact that virtually all of the data collected from patients are collected while the patient is at rest.  The ANS, specifically the P&amp;S nervous systems</w:t>
      </w:r>
      <w:r w:rsidR="00A31B54">
        <w:t>,</w:t>
      </w:r>
      <w:r>
        <w:t xml:space="preserve"> </w:t>
      </w:r>
      <w:r w:rsidR="00A31B54">
        <w:t>is</w:t>
      </w:r>
      <w:r>
        <w:t xml:space="preserve"> never at rest. (In fact, it may be argued that they are most active when you are sleeping, resting.)  As a result, the common thread behind the constellation of symptoms associated with </w:t>
      </w:r>
      <w:r w:rsidR="00B02411">
        <w:t>EDSh</w:t>
      </w:r>
      <w:r>
        <w:t xml:space="preserve"> is lost.  It is well known that the Sympathetic nervous system is the reactionary branch of the ANS and is not supposed to be chronically active.  It is also well known that the Parasympathetic nervous system is the ANS branch that establishes the metabolic threshold around which the Sympathetic branch reacts and then works to quiet the Sympathetic branch.  Under normal resting conditions</w:t>
      </w:r>
      <w:r w:rsidR="00A31B54">
        <w:t>,</w:t>
      </w:r>
      <w:r>
        <w:t xml:space="preserve"> as one branch is activated</w:t>
      </w:r>
      <w:r w:rsidR="00A31B54">
        <w:t>,</w:t>
      </w:r>
      <w:r>
        <w:t xml:space="preserve"> the other becomes less active.</w:t>
      </w:r>
    </w:p>
    <w:p w14:paraId="34AE4419" w14:textId="186CE08B" w:rsidR="00B05CE0" w:rsidRPr="00FE1603" w:rsidRDefault="00FE1603">
      <w:r>
        <w:t xml:space="preserve">This is not the case in most abnormal conditions and </w:t>
      </w:r>
      <w:r w:rsidR="00861CE0">
        <w:t xml:space="preserve">is not the case under abnormal dynamic conditions.  There are two significant, dynamic P&amp;S abnormalities (P&amp;S dysfunctions that present when not at rest) that are, apparently, caused by </w:t>
      </w:r>
      <w:r w:rsidR="00B02411">
        <w:t>EDSh</w:t>
      </w:r>
      <w:r w:rsidR="00861CE0">
        <w:t xml:space="preserve"> and serve to exacerbate the symptoms of </w:t>
      </w:r>
      <w:r w:rsidR="00B02411">
        <w:lastRenderedPageBreak/>
        <w:t>EDSh</w:t>
      </w:r>
      <w:r w:rsidR="00861CE0">
        <w:t>.  One is known as Sympathetic Withdrawal (SW), which is an abnormal alpha-Sympathetic response to head-up postural change (sitting or standing) which leads to poor cardiac and cerebral perfusion which lead to fatigue, exercise intolerance, shortness of breath, palpitations, and chest pains, and anxiety, brain-fog, memory and cognitive difficulties, and sleep difficulties; respectively.  The other is known as Parasympathetic Excess (PE)</w:t>
      </w:r>
      <w:r w:rsidR="00A31B54">
        <w:t xml:space="preserve">, </w:t>
      </w:r>
      <w:r w:rsidR="00861CE0">
        <w:t>which is an abnormal Parasympathetic response to a stress (a beta-Sympathetic) response.  PE not only may exacerbate symptoms caused by SW, but it also amplifies the Sympathetic disorders, including pain and inflammatory responses (including in the joints)</w:t>
      </w:r>
      <w:r w:rsidR="00946CF3">
        <w:t>.  It may also cause, or be the cause of</w:t>
      </w:r>
      <w:r w:rsidR="00861CE0">
        <w:t>, Mast Cell hyperactivity leading to unexplained rashes</w:t>
      </w:r>
      <w:r w:rsidR="00A31B54">
        <w:t>,</w:t>
      </w:r>
      <w:r w:rsidR="00861CE0">
        <w:t xml:space="preserve"> Mast Cell Activation Syndrome (MCAS), and Small Fiber disorder</w:t>
      </w:r>
      <w:r w:rsidR="00E03E18">
        <w:t>.</w:t>
      </w:r>
    </w:p>
    <w:p w14:paraId="1C775311" w14:textId="23EEE919" w:rsidR="00E03E18" w:rsidRDefault="00E03E18">
      <w:r>
        <w:t xml:space="preserve">PE may be a primary disorder caused by </w:t>
      </w:r>
      <w:r w:rsidR="00B02411">
        <w:t>EDSh</w:t>
      </w:r>
      <w:r>
        <w:t xml:space="preserve">.  It is well known that the Parasympathetics control and coordinate immune responses, including providing the “memory” for the immune system.  Since </w:t>
      </w:r>
      <w:r w:rsidR="00B02411">
        <w:t>EDSh</w:t>
      </w:r>
      <w:r>
        <w:t xml:space="preserve"> enables foreign substances to “leak-in” to the body all of the time, the immune system is always on constant, heightened “alert” and thereby forc</w:t>
      </w:r>
      <w:r w:rsidR="00352700">
        <w:t>es</w:t>
      </w:r>
      <w:r>
        <w:t xml:space="preserve"> the Parasympathetics to remain overactive.  Dynamically, PE forces the Sympathetic response to also be excessive (Sympathetic Excess or SE), secondarily.  Unfortunately, since most clinical office measurements are Sympathetically-based (HR, BP, etc.), only the SE is recognized (high HR and high BP) and therefore treated.  However, this results in more PE because the complimentary </w:t>
      </w:r>
      <w:r>
        <w:t>Sympathetic activity is reduced</w:t>
      </w:r>
      <w:r w:rsidR="00A31B54">
        <w:t>,</w:t>
      </w:r>
      <w:r>
        <w:t xml:space="preserve"> enabling the increase in PE.  This often leads to unresponsive or labile patients which are often misinterpreted.  In these patients, when PE is recognized as a primary autonomic dysfunction, and treated as such, the secondary SE is often relieved organically</w:t>
      </w:r>
      <w:r w:rsidR="008D4A2D">
        <w:t>, in time, and then the Sympathetically-based symptoms are often relieved organically, in time, assuming no end-organ effects.</w:t>
      </w:r>
    </w:p>
    <w:p w14:paraId="28BA80CE" w14:textId="1F712B31" w:rsidR="00DE6F3D" w:rsidRDefault="004532FD" w:rsidP="004532FD">
      <w:r w:rsidRPr="00115AB7">
        <w:t>A final thought for now</w:t>
      </w:r>
      <w:r w:rsidR="00A31B54">
        <w:t>:</w:t>
      </w:r>
      <w:r w:rsidRPr="00115AB7">
        <w:t xml:space="preserve">  S</w:t>
      </w:r>
      <w:r w:rsidR="00DE6F3D" w:rsidRPr="00115AB7">
        <w:t>ince the human body will assimilate foreign, ingested, collagen (</w:t>
      </w:r>
      <w:r w:rsidR="00DE6F3D" w:rsidRPr="00115AB7">
        <w:rPr>
          <w:i/>
        </w:rPr>
        <w:t>i.e.</w:t>
      </w:r>
      <w:r w:rsidR="00DE6F3D" w:rsidRPr="00115AB7">
        <w:t>, from bones, shellfish shells</w:t>
      </w:r>
      <w:r w:rsidR="00A31B54">
        <w:t>,</w:t>
      </w:r>
      <w:r w:rsidR="00DE6F3D" w:rsidRPr="00115AB7">
        <w:t xml:space="preserve"> and other animal connective tissue)</w:t>
      </w:r>
      <w:r w:rsidR="00A31B54">
        <w:t>,</w:t>
      </w:r>
      <w:r w:rsidR="00DE6F3D" w:rsidRPr="00115AB7">
        <w:t xml:space="preserve"> perhaps this is a basis for some relief of </w:t>
      </w:r>
      <w:r w:rsidR="00B02411">
        <w:t>EDSh</w:t>
      </w:r>
      <w:r w:rsidR="00DE6F3D" w:rsidRPr="00115AB7">
        <w:t xml:space="preserve">.  The (normal) animal collagen may help </w:t>
      </w:r>
      <w:r w:rsidR="00796F52" w:rsidRPr="00115AB7">
        <w:t>to “plug the leaks” caused by the abnormal native collagen.</w:t>
      </w:r>
      <w:r w:rsidR="00946CF3" w:rsidRPr="00115AB7">
        <w:t xml:space="preserve">  Many patients empirically find relief of symptoms with intake of collagen </w:t>
      </w:r>
      <w:r w:rsidR="002359F3" w:rsidRPr="00115AB7">
        <w:t>products.</w:t>
      </w:r>
    </w:p>
    <w:p w14:paraId="15EC1935" w14:textId="17C68128" w:rsidR="00B05CE0" w:rsidRPr="00727EE8" w:rsidRDefault="00DB2B50">
      <w:pPr>
        <w:rPr>
          <w:b/>
        </w:rPr>
      </w:pPr>
      <w:r w:rsidRPr="00727EE8">
        <w:rPr>
          <w:b/>
        </w:rPr>
        <w:t>CONCLUSION</w:t>
      </w:r>
    </w:p>
    <w:p w14:paraId="1D8FCCD7" w14:textId="500BC528" w:rsidR="00B05CE0" w:rsidRDefault="00B05CE0" w:rsidP="00B05CE0">
      <w:r>
        <w:t xml:space="preserve">As mentioned before, there is no genetic testing or lab testing that is diagnostic of </w:t>
      </w:r>
      <w:r w:rsidR="00B02411">
        <w:t>EDSh</w:t>
      </w:r>
      <w:r>
        <w:t xml:space="preserve">.  That is not to say that we will not in the future hone down on a specific gene loci or other biomarkers that may be supportive of hypermobile Ehlers-Danlos Syndrome.  However, to date, there are none.  </w:t>
      </w:r>
      <w:r w:rsidR="00946CF3">
        <w:t xml:space="preserve">We use a scoring system developed by the EDS Society.  </w:t>
      </w:r>
      <w:r>
        <w:t>For now, it is possible to re-establish P&amp;S balance and thereby help to restore an improved quality of life that permits a productive lifestyle, with less pain and better sleep</w:t>
      </w:r>
      <w:r w:rsidR="0086566E">
        <w:t xml:space="preserve"> [</w:t>
      </w:r>
      <w:r w:rsidR="0086566E">
        <w:fldChar w:fldCharType="begin"/>
      </w:r>
      <w:r w:rsidR="0086566E">
        <w:instrText xml:space="preserve"> NOTEREF _Ref483804527 \h </w:instrText>
      </w:r>
      <w:r w:rsidR="0086566E">
        <w:fldChar w:fldCharType="separate"/>
      </w:r>
      <w:r w:rsidR="0086566E">
        <w:t>1</w:t>
      </w:r>
      <w:r w:rsidR="0086566E">
        <w:fldChar w:fldCharType="end"/>
      </w:r>
      <w:r w:rsidR="0086566E">
        <w:t>,</w:t>
      </w:r>
      <w:r w:rsidR="0086566E">
        <w:fldChar w:fldCharType="begin"/>
      </w:r>
      <w:r w:rsidR="0086566E">
        <w:instrText xml:space="preserve"> NOTEREF _Ref62111239 \h </w:instrText>
      </w:r>
      <w:r w:rsidR="0086566E">
        <w:fldChar w:fldCharType="separate"/>
      </w:r>
      <w:r w:rsidR="0086566E">
        <w:t>8</w:t>
      </w:r>
      <w:r w:rsidR="0086566E">
        <w:fldChar w:fldCharType="end"/>
      </w:r>
      <w:r w:rsidR="0086566E">
        <w:t>]</w:t>
      </w:r>
      <w:r>
        <w:t xml:space="preserve">.  This is just the beginning of a research effort that must include many more patients from many more sources as </w:t>
      </w:r>
      <w:r w:rsidR="00B02411">
        <w:t>EDSh</w:t>
      </w:r>
      <w:r>
        <w:t xml:space="preserve"> awareness continues to grow.</w:t>
      </w:r>
    </w:p>
    <w:p w14:paraId="7F29B6B2" w14:textId="77777777" w:rsidR="00727EE8" w:rsidRDefault="00727EE8">
      <w:pPr>
        <w:sectPr w:rsidR="00727EE8" w:rsidSect="00727EE8">
          <w:footnotePr>
            <w:numFmt w:val="chicago"/>
          </w:footnotePr>
          <w:endnotePr>
            <w:numFmt w:val="decimal"/>
          </w:endnotePr>
          <w:type w:val="continuous"/>
          <w:pgSz w:w="12240" w:h="15840"/>
          <w:pgMar w:top="1440" w:right="1440" w:bottom="1440" w:left="1440" w:header="720" w:footer="720" w:gutter="0"/>
          <w:cols w:num="2" w:space="720"/>
          <w:docGrid w:linePitch="360"/>
        </w:sectPr>
      </w:pPr>
    </w:p>
    <w:p w14:paraId="3974E9D1" w14:textId="7B26AF3F" w:rsidR="00275AB8" w:rsidRPr="001B30EA" w:rsidRDefault="00DB2B50">
      <w:pPr>
        <w:rPr>
          <w:b/>
        </w:rPr>
      </w:pPr>
      <w:r w:rsidRPr="001B30EA">
        <w:rPr>
          <w:b/>
        </w:rPr>
        <w:t>REFERENCES</w:t>
      </w:r>
    </w:p>
    <w:sectPr w:rsidR="00275AB8" w:rsidRPr="001B30EA" w:rsidSect="001B30EA">
      <w:footnotePr>
        <w:numFmt w:val="chicago"/>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C305" w14:textId="77777777" w:rsidR="005E4F33" w:rsidRDefault="005E4F33" w:rsidP="004822A8">
      <w:pPr>
        <w:spacing w:before="0"/>
      </w:pPr>
      <w:r>
        <w:separator/>
      </w:r>
    </w:p>
  </w:endnote>
  <w:endnote w:type="continuationSeparator" w:id="0">
    <w:p w14:paraId="50EF75A1" w14:textId="77777777" w:rsidR="005E4F33" w:rsidRDefault="005E4F33" w:rsidP="004822A8">
      <w:pPr>
        <w:spacing w:before="0"/>
      </w:pPr>
      <w:r>
        <w:continuationSeparator/>
      </w:r>
    </w:p>
  </w:endnote>
  <w:endnote w:id="1">
    <w:p w14:paraId="7BC2513A" w14:textId="77777777" w:rsidR="00352700" w:rsidRPr="00275AB8" w:rsidRDefault="00352700" w:rsidP="00275AB8">
      <w:pPr>
        <w:spacing w:before="0"/>
      </w:pPr>
      <w:r w:rsidRPr="00275AB8">
        <w:endnoteRef/>
      </w:r>
      <w:r w:rsidRPr="00275AB8">
        <w:t xml:space="preserve"> </w:t>
      </w:r>
      <w:r w:rsidRPr="00275AB8">
        <w:rPr>
          <w:szCs w:val="24"/>
        </w:rPr>
        <w:t xml:space="preserve">Colombo J, Arora RR, DePace NL, Vinik AI.  </w:t>
      </w:r>
      <w:r w:rsidRPr="00275AB8">
        <w:rPr>
          <w:szCs w:val="36"/>
          <w:u w:val="single"/>
        </w:rPr>
        <w:t xml:space="preserve">Clinical Autonomic Dysfunction:  </w:t>
      </w:r>
      <w:r w:rsidRPr="00275AB8">
        <w:rPr>
          <w:szCs w:val="32"/>
          <w:u w:val="single"/>
        </w:rPr>
        <w:t>Measurement, Indications, Therapies, and Outcomes</w:t>
      </w:r>
      <w:r w:rsidRPr="00275AB8">
        <w:rPr>
          <w:szCs w:val="32"/>
        </w:rPr>
        <w:t>.  Springer Science + Business Media, New York, NY, 2014.</w:t>
      </w:r>
    </w:p>
  </w:endnote>
  <w:endnote w:id="2">
    <w:p w14:paraId="68B31401" w14:textId="77777777" w:rsidR="00352700" w:rsidRPr="00BD46D8" w:rsidRDefault="00352700" w:rsidP="00FA54C1">
      <w:pPr>
        <w:pStyle w:val="EndnoteText"/>
        <w:rPr>
          <w:sz w:val="24"/>
          <w:szCs w:val="24"/>
        </w:rPr>
      </w:pPr>
      <w:r w:rsidRPr="00BD46D8">
        <w:rPr>
          <w:rStyle w:val="EndnoteReference"/>
          <w:sz w:val="24"/>
          <w:szCs w:val="24"/>
          <w:vertAlign w:val="baseline"/>
        </w:rPr>
        <w:endnoteRef/>
      </w:r>
      <w:r w:rsidRPr="00BD46D8">
        <w:rPr>
          <w:sz w:val="24"/>
          <w:szCs w:val="24"/>
        </w:rPr>
        <w:t xml:space="preserve"> Malik, M.  The Task Force of the European Society of Cardiology and the North American Society of Pacing and Electrophysiology. Heart rate variability, standards of measurement, physiological interpretation, and clinical use.  Circulation. 1996; 93:1043-1065.</w:t>
      </w:r>
    </w:p>
  </w:endnote>
  <w:endnote w:id="3">
    <w:p w14:paraId="391366F8" w14:textId="77777777" w:rsidR="00352700" w:rsidRPr="00BD46D8" w:rsidRDefault="00352700" w:rsidP="00FA54C1">
      <w:pPr>
        <w:pStyle w:val="EndnoteText"/>
        <w:rPr>
          <w:sz w:val="24"/>
          <w:szCs w:val="24"/>
        </w:rPr>
      </w:pPr>
      <w:r w:rsidRPr="00BD46D8">
        <w:rPr>
          <w:rStyle w:val="EndnoteReference"/>
          <w:sz w:val="24"/>
          <w:szCs w:val="24"/>
          <w:vertAlign w:val="baseline"/>
        </w:rPr>
        <w:endnoteRef/>
      </w:r>
      <w:r w:rsidRPr="00BD46D8">
        <w:rPr>
          <w:sz w:val="24"/>
          <w:szCs w:val="24"/>
        </w:rPr>
        <w:t xml:space="preserve"> </w:t>
      </w:r>
      <w:r w:rsidRPr="00BD46D8">
        <w:rPr>
          <w:bCs/>
          <w:sz w:val="24"/>
          <w:szCs w:val="24"/>
        </w:rPr>
        <w:t>Malik, M. and the Task Force of the European Society of Cardiology and the North American Society of Pacing and Electrophysiology. Heart rate variability, standards of measurement, physiological interpretation, and clinical use.  European Heart Journal. 1996, 17: 354-381.</w:t>
      </w:r>
    </w:p>
  </w:endnote>
  <w:endnote w:id="4">
    <w:p w14:paraId="3862148E" w14:textId="77777777" w:rsidR="00352700" w:rsidRPr="00D84056" w:rsidRDefault="00352700">
      <w:pPr>
        <w:pStyle w:val="EndnoteText"/>
        <w:rPr>
          <w:sz w:val="24"/>
        </w:rPr>
      </w:pPr>
      <w:r w:rsidRPr="00D84056">
        <w:rPr>
          <w:rStyle w:val="EndnoteReference"/>
          <w:sz w:val="24"/>
          <w:vertAlign w:val="baseline"/>
        </w:rPr>
        <w:endnoteRef/>
      </w:r>
      <w:r w:rsidRPr="00D84056">
        <w:rPr>
          <w:sz w:val="24"/>
        </w:rPr>
        <w:t xml:space="preserve"> </w:t>
      </w:r>
      <w:r w:rsidRPr="00D84056">
        <w:rPr>
          <w:rFonts w:cs="Arial"/>
          <w:sz w:val="24"/>
          <w:shd w:val="clear" w:color="auto" w:fill="FFFFFF"/>
        </w:rPr>
        <w:t>Pafili K, Trypsianis G, Papazoglou D, Maltezos E, Papanas N. Simplified Diagnosis of Cardiovascular Autonomic Neuropathy in Type 2 Diabetes Using Ewing's Battery. Rev Diabet Stud. 2015 Spring-Summer;12(1-2):213-9. doi: 10.1900/RDS.2015.12.213. Epub 2015 Aug 10. PMID: 26676669; PMCID: PMC5397991.</w:t>
      </w:r>
    </w:p>
  </w:endnote>
  <w:endnote w:id="5">
    <w:p w14:paraId="25BB6AF9" w14:textId="77777777" w:rsidR="00352700" w:rsidRPr="00275AB8" w:rsidRDefault="00352700" w:rsidP="00D84056">
      <w:pPr>
        <w:pStyle w:val="Default"/>
        <w:rPr>
          <w:color w:val="auto"/>
          <w:szCs w:val="16"/>
        </w:rPr>
      </w:pPr>
      <w:r w:rsidRPr="00275AB8">
        <w:rPr>
          <w:rStyle w:val="EndnoteReference"/>
          <w:color w:val="auto"/>
          <w:vertAlign w:val="baseline"/>
        </w:rPr>
        <w:endnoteRef/>
      </w:r>
      <w:r w:rsidRPr="00275AB8">
        <w:rPr>
          <w:color w:val="auto"/>
        </w:rPr>
        <w:t xml:space="preserve"> </w:t>
      </w:r>
      <w:r w:rsidRPr="00275AB8">
        <w:rPr>
          <w:color w:val="auto"/>
          <w:szCs w:val="16"/>
        </w:rPr>
        <w:t xml:space="preserve">Murray G and Colombo J. Ranolazine therapy reduces non-ST-segment elevation myocardial infarction and unstable angina in coronary disease patients with angina (2016) Int J Angiology 25: 159-164. https://doi.org/10.1055/s-0036-1572364 </w:t>
      </w:r>
    </w:p>
  </w:endnote>
  <w:endnote w:id="6">
    <w:p w14:paraId="22038EB4" w14:textId="77777777" w:rsidR="00352700" w:rsidRPr="00275AB8" w:rsidRDefault="00352700" w:rsidP="00D84056">
      <w:pPr>
        <w:pStyle w:val="EndnoteText"/>
        <w:rPr>
          <w:sz w:val="24"/>
        </w:rPr>
      </w:pPr>
      <w:r w:rsidRPr="00275AB8">
        <w:rPr>
          <w:rStyle w:val="EndnoteReference"/>
          <w:sz w:val="24"/>
          <w:vertAlign w:val="baseline"/>
        </w:rPr>
        <w:endnoteRef/>
      </w:r>
      <w:r w:rsidRPr="00275AB8">
        <w:rPr>
          <w:sz w:val="24"/>
        </w:rPr>
        <w:t xml:space="preserve"> </w:t>
      </w:r>
      <w:r w:rsidRPr="00275AB8">
        <w:rPr>
          <w:sz w:val="24"/>
          <w:szCs w:val="22"/>
        </w:rPr>
        <w:t>Murray LG and Colombo J. Routine measurements of cardiac parasympathetic and sympathetic nervous systems assists in primary and secondary risk stratification and management of cardiovascular clinic patients.  Clinical Cardiol Cardiovascular Med. 2019; 3: 27-33.</w:t>
      </w:r>
    </w:p>
  </w:endnote>
  <w:endnote w:id="7">
    <w:p w14:paraId="7D86445D" w14:textId="77777777" w:rsidR="00352700" w:rsidRPr="00275AB8" w:rsidRDefault="00352700" w:rsidP="00D84056">
      <w:pPr>
        <w:pStyle w:val="Default"/>
        <w:rPr>
          <w:color w:val="auto"/>
        </w:rPr>
      </w:pPr>
      <w:r w:rsidRPr="00275AB8">
        <w:rPr>
          <w:rStyle w:val="EndnoteReference"/>
          <w:color w:val="auto"/>
          <w:vertAlign w:val="baseline"/>
        </w:rPr>
        <w:endnoteRef/>
      </w:r>
      <w:r w:rsidRPr="00275AB8">
        <w:rPr>
          <w:color w:val="auto"/>
        </w:rPr>
        <w:t xml:space="preserve"> </w:t>
      </w:r>
      <w:r w:rsidRPr="00275AB8">
        <w:rPr>
          <w:color w:val="auto"/>
          <w:szCs w:val="16"/>
        </w:rPr>
        <w:t xml:space="preserve">Curtis B and O’Keefe J. Autonomic tone as a cardiovascular risk factor: the dangers of chronic fight or flight (2002) Mayo Clinic Proc 72: 45-54. https://doi.org/10.4065/77.1.45 </w:t>
      </w:r>
    </w:p>
  </w:endnote>
  <w:endnote w:id="8">
    <w:p w14:paraId="63D91B5E" w14:textId="77777777" w:rsidR="001B30EA" w:rsidRPr="00275AB8" w:rsidRDefault="001B30EA" w:rsidP="001B30EA">
      <w:pPr>
        <w:pStyle w:val="EndnoteText"/>
        <w:rPr>
          <w:sz w:val="24"/>
          <w:szCs w:val="24"/>
        </w:rPr>
      </w:pPr>
      <w:r w:rsidRPr="00275AB8">
        <w:rPr>
          <w:rStyle w:val="EndnoteReference"/>
          <w:sz w:val="24"/>
          <w:szCs w:val="24"/>
          <w:vertAlign w:val="baseline"/>
        </w:rPr>
        <w:endnoteRef/>
      </w:r>
      <w:r w:rsidRPr="00275AB8">
        <w:rPr>
          <w:sz w:val="24"/>
          <w:szCs w:val="24"/>
        </w:rPr>
        <w:t xml:space="preserve"> Umetani K, Singer DH, McCraty R, and Atkinson M.  Twenty-four hour time domain heart rate variability and heart rate:  Relations to age and gender over nine decades.  JACC. 1998; 31(3), 593 – 601.</w:t>
      </w:r>
    </w:p>
  </w:endnote>
  <w:endnote w:id="9">
    <w:p w14:paraId="3F5D57B7" w14:textId="77777777" w:rsidR="00DB2B50" w:rsidRPr="005347D2" w:rsidRDefault="00DB2B50" w:rsidP="00DB2B50">
      <w:pPr>
        <w:pStyle w:val="EndnoteText"/>
        <w:rPr>
          <w:sz w:val="24"/>
          <w:szCs w:val="24"/>
        </w:rPr>
      </w:pPr>
      <w:r w:rsidRPr="00BD46D8">
        <w:rPr>
          <w:rStyle w:val="EndnoteReference"/>
          <w:sz w:val="24"/>
          <w:szCs w:val="24"/>
          <w:vertAlign w:val="baseline"/>
        </w:rPr>
        <w:endnoteRef/>
      </w:r>
      <w:r w:rsidRPr="005347D2">
        <w:rPr>
          <w:sz w:val="24"/>
          <w:szCs w:val="24"/>
          <w:lang w:val="es-ES"/>
        </w:rPr>
        <w:t xml:space="preserve"> </w:t>
      </w:r>
      <w:r w:rsidRPr="005347D2">
        <w:rPr>
          <w:iCs/>
          <w:sz w:val="24"/>
          <w:szCs w:val="24"/>
          <w:lang w:val="es-ES"/>
        </w:rPr>
        <w:t xml:space="preserve">Arora RR, Bulgarelli RJ, Ghosh-Dastidar S, Colombo J.  </w:t>
      </w:r>
      <w:r w:rsidRPr="005347D2">
        <w:rPr>
          <w:bCs/>
          <w:iCs/>
          <w:sz w:val="24"/>
          <w:szCs w:val="24"/>
        </w:rPr>
        <w:t>Autonomic mechanisms and therapeutic implications of postural diabetic cardiovascular abnormalities.  J Diabetes Science and Technology.  2008; 2(4): 568-71.</w:t>
      </w:r>
    </w:p>
  </w:endnote>
  <w:endnote w:id="10">
    <w:p w14:paraId="7DA1956B" w14:textId="77777777" w:rsidR="00E9480F" w:rsidRPr="00BD46D8" w:rsidRDefault="00E9480F" w:rsidP="00E9480F">
      <w:pPr>
        <w:pStyle w:val="EndnoteText"/>
        <w:rPr>
          <w:sz w:val="24"/>
        </w:rPr>
      </w:pPr>
      <w:r w:rsidRPr="00BD46D8">
        <w:rPr>
          <w:rStyle w:val="EndnoteReference"/>
          <w:sz w:val="24"/>
          <w:vertAlign w:val="baseline"/>
        </w:rPr>
        <w:endnoteRef/>
      </w:r>
      <w:r w:rsidRPr="00BD46D8">
        <w:rPr>
          <w:sz w:val="24"/>
        </w:rPr>
        <w:t xml:space="preserve"> </w:t>
      </w:r>
      <w:r w:rsidRPr="00BD46D8">
        <w:rPr>
          <w:sz w:val="24"/>
          <w:szCs w:val="16"/>
        </w:rPr>
        <w:t>Murray LG and Colombo J. Maintenance (r) alpha lipoic acid reduces sudden cardiac death in geriatric diabetes mellitus II patients.  2020; Clin Cardiol Cardiovasc Med 4: 6-12.</w:t>
      </w:r>
    </w:p>
  </w:endnote>
  <w:endnote w:id="11">
    <w:p w14:paraId="1BB5DF1B" w14:textId="77777777" w:rsidR="00352700" w:rsidRPr="00275AB8" w:rsidRDefault="00352700">
      <w:pPr>
        <w:pStyle w:val="EndnoteText"/>
        <w:rPr>
          <w:sz w:val="24"/>
        </w:rPr>
      </w:pPr>
      <w:r w:rsidRPr="00275AB8">
        <w:rPr>
          <w:rStyle w:val="EndnoteReference"/>
          <w:sz w:val="24"/>
          <w:vertAlign w:val="baseline"/>
        </w:rPr>
        <w:endnoteRef/>
      </w:r>
      <w:r w:rsidRPr="00275AB8">
        <w:rPr>
          <w:sz w:val="24"/>
        </w:rPr>
        <w:t xml:space="preserve"> </w:t>
      </w:r>
      <w:r w:rsidRPr="00275AB8">
        <w:rPr>
          <w:sz w:val="24"/>
          <w:szCs w:val="24"/>
        </w:rPr>
        <w:t xml:space="preserve">DePace NL, Colombo J.  </w:t>
      </w:r>
      <w:r w:rsidRPr="00275AB8">
        <w:rPr>
          <w:sz w:val="24"/>
          <w:szCs w:val="24"/>
          <w:u w:val="single"/>
        </w:rPr>
        <w:t>Autonomic and Mitochondrial Dysfunction in Clinical Diseases:  Diagnostic, Prevention, and Therapy</w:t>
      </w:r>
      <w:r w:rsidRPr="00275AB8">
        <w:rPr>
          <w:sz w:val="24"/>
          <w:szCs w:val="24"/>
        </w:rPr>
        <w:t>.  Springer Science + Business Media, New York, NY,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39982"/>
      <w:docPartObj>
        <w:docPartGallery w:val="Page Numbers (Bottom of Page)"/>
        <w:docPartUnique/>
      </w:docPartObj>
    </w:sdtPr>
    <w:sdtEndPr>
      <w:rPr>
        <w:noProof/>
      </w:rPr>
    </w:sdtEndPr>
    <w:sdtContent>
      <w:p w14:paraId="47E54F0F" w14:textId="5C7726C0" w:rsidR="003E1036" w:rsidRDefault="003E1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B20D5" w14:textId="77777777" w:rsidR="003E1036" w:rsidRDefault="003E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546B" w14:textId="77777777" w:rsidR="005E4F33" w:rsidRDefault="005E4F33" w:rsidP="004822A8">
      <w:pPr>
        <w:spacing w:before="0"/>
      </w:pPr>
      <w:r>
        <w:separator/>
      </w:r>
    </w:p>
  </w:footnote>
  <w:footnote w:type="continuationSeparator" w:id="0">
    <w:p w14:paraId="7C55151E" w14:textId="77777777" w:rsidR="005E4F33" w:rsidRDefault="005E4F33" w:rsidP="004822A8">
      <w:pPr>
        <w:spacing w:before="0"/>
      </w:pPr>
      <w:r>
        <w:continuationSeparator/>
      </w:r>
    </w:p>
  </w:footnote>
  <w:footnote w:id="1">
    <w:p w14:paraId="553126AE" w14:textId="77777777" w:rsidR="00CF3DB9" w:rsidRPr="001E5EEB" w:rsidRDefault="00CF3DB9" w:rsidP="00CF3DB9">
      <w:pPr>
        <w:pStyle w:val="FootnoteText"/>
      </w:pPr>
      <w:r w:rsidRPr="001E5EEB">
        <w:rPr>
          <w:rStyle w:val="FootnoteReference"/>
        </w:rPr>
        <w:footnoteRef/>
      </w:r>
      <w:r w:rsidRPr="001E5EEB">
        <w:t xml:space="preserve"> </w:t>
      </w:r>
      <w:r>
        <w:t>Normally, P-activity decreases then S-activity increases.  Under certain abnormal conditions (Dysautonomias), P-activity increases (presumably as a protective mechanism), forcing the reactionary S-activity to increase even more, amplifying the resultant S-response (</w:t>
      </w:r>
      <w:r>
        <w:rPr>
          <w:i/>
        </w:rPr>
        <w:t>e.g.</w:t>
      </w:r>
      <w:r>
        <w:t>, pain, inflammation, stress, HR, BP, etc.).  This abnormal increase in P-activity is detectable during S-challenges (under stress) and is known as P-Excess (PE).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51E9" w14:textId="5A323FE8" w:rsidR="003E1036" w:rsidRPr="003E1036" w:rsidRDefault="003E1036">
    <w:pPr>
      <w:pStyle w:val="Header"/>
      <w:rPr>
        <w:b/>
        <w:bCs/>
        <w:sz w:val="20"/>
        <w:szCs w:val="18"/>
      </w:rPr>
    </w:pPr>
    <w:r w:rsidRPr="003E1036">
      <w:rPr>
        <w:b/>
        <w:bCs/>
        <w:sz w:val="20"/>
        <w:szCs w:val="18"/>
      </w:rPr>
      <w:t>J</w:t>
    </w:r>
    <w:r w:rsidR="00DB2B50">
      <w:rPr>
        <w:b/>
        <w:bCs/>
        <w:sz w:val="20"/>
        <w:szCs w:val="18"/>
      </w:rPr>
      <w:t>O</w:t>
    </w:r>
    <w:r w:rsidRPr="003E1036">
      <w:rPr>
        <w:b/>
        <w:bCs/>
        <w:sz w:val="20"/>
        <w:szCs w:val="18"/>
      </w:rPr>
      <w:t>IMT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50FC"/>
    <w:multiLevelType w:val="hybridMultilevel"/>
    <w:tmpl w:val="369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6AF"/>
    <w:rsid w:val="00032498"/>
    <w:rsid w:val="000375E9"/>
    <w:rsid w:val="000610D8"/>
    <w:rsid w:val="0008090B"/>
    <w:rsid w:val="00084FAA"/>
    <w:rsid w:val="000B56E5"/>
    <w:rsid w:val="000F0C06"/>
    <w:rsid w:val="000F67D4"/>
    <w:rsid w:val="00115AB7"/>
    <w:rsid w:val="001538B7"/>
    <w:rsid w:val="00166951"/>
    <w:rsid w:val="00173206"/>
    <w:rsid w:val="001A7890"/>
    <w:rsid w:val="001B30EA"/>
    <w:rsid w:val="001B6BFE"/>
    <w:rsid w:val="00202D38"/>
    <w:rsid w:val="00221B8E"/>
    <w:rsid w:val="002249C6"/>
    <w:rsid w:val="002359F3"/>
    <w:rsid w:val="002424A8"/>
    <w:rsid w:val="0026088B"/>
    <w:rsid w:val="00275AB8"/>
    <w:rsid w:val="00276EAA"/>
    <w:rsid w:val="0031413B"/>
    <w:rsid w:val="00352700"/>
    <w:rsid w:val="003529E7"/>
    <w:rsid w:val="00370184"/>
    <w:rsid w:val="003E1036"/>
    <w:rsid w:val="003F4DD9"/>
    <w:rsid w:val="00436E26"/>
    <w:rsid w:val="00441A78"/>
    <w:rsid w:val="00450A67"/>
    <w:rsid w:val="004532FD"/>
    <w:rsid w:val="0045463B"/>
    <w:rsid w:val="004822A8"/>
    <w:rsid w:val="004A222B"/>
    <w:rsid w:val="004C12BD"/>
    <w:rsid w:val="00525E7C"/>
    <w:rsid w:val="00536128"/>
    <w:rsid w:val="0057116E"/>
    <w:rsid w:val="005774C2"/>
    <w:rsid w:val="0058319E"/>
    <w:rsid w:val="0058539B"/>
    <w:rsid w:val="005947A6"/>
    <w:rsid w:val="005B24D8"/>
    <w:rsid w:val="005C0C67"/>
    <w:rsid w:val="005E4F33"/>
    <w:rsid w:val="00633E0F"/>
    <w:rsid w:val="0063652A"/>
    <w:rsid w:val="0064010C"/>
    <w:rsid w:val="00653E13"/>
    <w:rsid w:val="00665905"/>
    <w:rsid w:val="00674FA4"/>
    <w:rsid w:val="00691862"/>
    <w:rsid w:val="006973C2"/>
    <w:rsid w:val="006A52EB"/>
    <w:rsid w:val="006B6442"/>
    <w:rsid w:val="006F1740"/>
    <w:rsid w:val="007154A8"/>
    <w:rsid w:val="007174B0"/>
    <w:rsid w:val="00721C44"/>
    <w:rsid w:val="00727EA6"/>
    <w:rsid w:val="00727EE8"/>
    <w:rsid w:val="0077061E"/>
    <w:rsid w:val="00796F52"/>
    <w:rsid w:val="007A023E"/>
    <w:rsid w:val="007D7D1D"/>
    <w:rsid w:val="007E15A5"/>
    <w:rsid w:val="007E583E"/>
    <w:rsid w:val="00806DD5"/>
    <w:rsid w:val="00861CE0"/>
    <w:rsid w:val="0086566E"/>
    <w:rsid w:val="0088598D"/>
    <w:rsid w:val="00886BD3"/>
    <w:rsid w:val="008B70D8"/>
    <w:rsid w:val="008D1D1B"/>
    <w:rsid w:val="008D4A2D"/>
    <w:rsid w:val="008F6AE7"/>
    <w:rsid w:val="008F73AF"/>
    <w:rsid w:val="00932D7D"/>
    <w:rsid w:val="00946CF3"/>
    <w:rsid w:val="009C703F"/>
    <w:rsid w:val="00A06A2E"/>
    <w:rsid w:val="00A1753D"/>
    <w:rsid w:val="00A31B54"/>
    <w:rsid w:val="00A51A76"/>
    <w:rsid w:val="00A6597D"/>
    <w:rsid w:val="00A66926"/>
    <w:rsid w:val="00A77555"/>
    <w:rsid w:val="00A820FF"/>
    <w:rsid w:val="00AB263B"/>
    <w:rsid w:val="00AD6244"/>
    <w:rsid w:val="00B02411"/>
    <w:rsid w:val="00B034AB"/>
    <w:rsid w:val="00B05CE0"/>
    <w:rsid w:val="00B11349"/>
    <w:rsid w:val="00B156AF"/>
    <w:rsid w:val="00B51D5B"/>
    <w:rsid w:val="00B71636"/>
    <w:rsid w:val="00B74792"/>
    <w:rsid w:val="00BD46D8"/>
    <w:rsid w:val="00BE3B79"/>
    <w:rsid w:val="00C1044F"/>
    <w:rsid w:val="00C4046E"/>
    <w:rsid w:val="00C72EA1"/>
    <w:rsid w:val="00C7699C"/>
    <w:rsid w:val="00C812CF"/>
    <w:rsid w:val="00C93D4B"/>
    <w:rsid w:val="00C9400A"/>
    <w:rsid w:val="00CA2163"/>
    <w:rsid w:val="00CA4F0E"/>
    <w:rsid w:val="00CD7A20"/>
    <w:rsid w:val="00CF3DB9"/>
    <w:rsid w:val="00D01836"/>
    <w:rsid w:val="00D22FF8"/>
    <w:rsid w:val="00D84056"/>
    <w:rsid w:val="00D910FC"/>
    <w:rsid w:val="00DA1C11"/>
    <w:rsid w:val="00DB2B50"/>
    <w:rsid w:val="00DD27AB"/>
    <w:rsid w:val="00DD4CE9"/>
    <w:rsid w:val="00DE6F3D"/>
    <w:rsid w:val="00E0121F"/>
    <w:rsid w:val="00E03E18"/>
    <w:rsid w:val="00E36967"/>
    <w:rsid w:val="00E57DE6"/>
    <w:rsid w:val="00E703AE"/>
    <w:rsid w:val="00E90083"/>
    <w:rsid w:val="00E9480F"/>
    <w:rsid w:val="00EC59C0"/>
    <w:rsid w:val="00ED570B"/>
    <w:rsid w:val="00EE543B"/>
    <w:rsid w:val="00F00C72"/>
    <w:rsid w:val="00F024A0"/>
    <w:rsid w:val="00F0541D"/>
    <w:rsid w:val="00F10C69"/>
    <w:rsid w:val="00FA329D"/>
    <w:rsid w:val="00FA54C1"/>
    <w:rsid w:val="00FC383A"/>
    <w:rsid w:val="00FC6154"/>
    <w:rsid w:val="00FD5E90"/>
    <w:rsid w:val="00FE1603"/>
    <w:rsid w:val="00FE5351"/>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842A"/>
  <w15:docId w15:val="{0D2BABEC-A06E-4572-997D-2683EB9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AF"/>
  </w:style>
  <w:style w:type="paragraph" w:styleId="Heading3">
    <w:name w:val="heading 3"/>
    <w:basedOn w:val="Normal"/>
    <w:link w:val="Heading3Char"/>
    <w:uiPriority w:val="9"/>
    <w:qFormat/>
    <w:rsid w:val="00CA216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2163"/>
    <w:rPr>
      <w:rFonts w:eastAsia="Times New Roman" w:cs="Times New Roman"/>
      <w:b/>
      <w:bCs/>
      <w:sz w:val="27"/>
      <w:szCs w:val="27"/>
    </w:rPr>
  </w:style>
  <w:style w:type="character" w:styleId="Hyperlink">
    <w:name w:val="Hyperlink"/>
    <w:basedOn w:val="DefaultParagraphFont"/>
    <w:uiPriority w:val="99"/>
    <w:unhideWhenUsed/>
    <w:rsid w:val="00CA2163"/>
    <w:rPr>
      <w:color w:val="0000FF"/>
      <w:u w:val="single"/>
    </w:rPr>
  </w:style>
  <w:style w:type="character" w:styleId="HTMLCite">
    <w:name w:val="HTML Cite"/>
    <w:basedOn w:val="DefaultParagraphFont"/>
    <w:uiPriority w:val="99"/>
    <w:semiHidden/>
    <w:unhideWhenUsed/>
    <w:rsid w:val="00CA2163"/>
    <w:rPr>
      <w:i/>
      <w:iCs/>
    </w:rPr>
  </w:style>
  <w:style w:type="paragraph" w:styleId="BalloonText">
    <w:name w:val="Balloon Text"/>
    <w:basedOn w:val="Normal"/>
    <w:link w:val="BalloonTextChar"/>
    <w:uiPriority w:val="99"/>
    <w:semiHidden/>
    <w:unhideWhenUsed/>
    <w:rsid w:val="008D4A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2D"/>
    <w:rPr>
      <w:rFonts w:ascii="Tahoma" w:hAnsi="Tahoma" w:cs="Tahoma"/>
      <w:sz w:val="16"/>
      <w:szCs w:val="16"/>
    </w:rPr>
  </w:style>
  <w:style w:type="paragraph" w:styleId="Caption">
    <w:name w:val="caption"/>
    <w:basedOn w:val="Normal"/>
    <w:next w:val="Normal"/>
    <w:uiPriority w:val="35"/>
    <w:unhideWhenUsed/>
    <w:qFormat/>
    <w:rsid w:val="008D4A2D"/>
    <w:pPr>
      <w:spacing w:before="0" w:after="200"/>
    </w:pPr>
    <w:rPr>
      <w:b/>
      <w:bCs/>
      <w:color w:val="4F81BD" w:themeColor="accent1"/>
      <w:sz w:val="18"/>
      <w:szCs w:val="18"/>
    </w:rPr>
  </w:style>
  <w:style w:type="paragraph" w:styleId="EndnoteText">
    <w:name w:val="endnote text"/>
    <w:basedOn w:val="Normal"/>
    <w:link w:val="EndnoteTextChar"/>
    <w:rsid w:val="004822A8"/>
    <w:pPr>
      <w:spacing w:before="0"/>
    </w:pPr>
    <w:rPr>
      <w:rFonts w:eastAsia="Times New Roman" w:cs="Times New Roman"/>
      <w:sz w:val="20"/>
      <w:szCs w:val="20"/>
    </w:rPr>
  </w:style>
  <w:style w:type="character" w:customStyle="1" w:styleId="EndnoteTextChar">
    <w:name w:val="Endnote Text Char"/>
    <w:basedOn w:val="DefaultParagraphFont"/>
    <w:link w:val="EndnoteText"/>
    <w:rsid w:val="004822A8"/>
    <w:rPr>
      <w:rFonts w:eastAsia="Times New Roman" w:cs="Times New Roman"/>
      <w:sz w:val="20"/>
      <w:szCs w:val="20"/>
    </w:rPr>
  </w:style>
  <w:style w:type="character" w:styleId="EndnoteReference">
    <w:name w:val="endnote reference"/>
    <w:semiHidden/>
    <w:rsid w:val="004822A8"/>
    <w:rPr>
      <w:vertAlign w:val="superscript"/>
    </w:rPr>
  </w:style>
  <w:style w:type="paragraph" w:customStyle="1" w:styleId="Default">
    <w:name w:val="Default"/>
    <w:rsid w:val="004822A8"/>
    <w:pPr>
      <w:autoSpaceDE w:val="0"/>
      <w:autoSpaceDN w:val="0"/>
      <w:adjustRightInd w:val="0"/>
      <w:spacing w:before="0"/>
    </w:pPr>
    <w:rPr>
      <w:rFonts w:cs="Times New Roman"/>
      <w:color w:val="000000"/>
      <w:szCs w:val="24"/>
    </w:rPr>
  </w:style>
  <w:style w:type="table" w:styleId="TableGrid">
    <w:name w:val="Table Grid"/>
    <w:basedOn w:val="TableNormal"/>
    <w:uiPriority w:val="59"/>
    <w:rsid w:val="00FF7ED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7ED0"/>
    <w:pPr>
      <w:spacing w:before="0"/>
    </w:pPr>
    <w:rPr>
      <w:sz w:val="20"/>
      <w:szCs w:val="20"/>
    </w:rPr>
  </w:style>
  <w:style w:type="character" w:customStyle="1" w:styleId="FootnoteTextChar">
    <w:name w:val="Footnote Text Char"/>
    <w:basedOn w:val="DefaultParagraphFont"/>
    <w:link w:val="FootnoteText"/>
    <w:uiPriority w:val="99"/>
    <w:semiHidden/>
    <w:rsid w:val="00FF7ED0"/>
    <w:rPr>
      <w:sz w:val="20"/>
      <w:szCs w:val="20"/>
    </w:rPr>
  </w:style>
  <w:style w:type="character" w:styleId="FootnoteReference">
    <w:name w:val="footnote reference"/>
    <w:basedOn w:val="DefaultParagraphFont"/>
    <w:uiPriority w:val="99"/>
    <w:semiHidden/>
    <w:unhideWhenUsed/>
    <w:rsid w:val="00FF7ED0"/>
    <w:rPr>
      <w:vertAlign w:val="superscript"/>
    </w:rPr>
  </w:style>
  <w:style w:type="paragraph" w:styleId="ListParagraph">
    <w:name w:val="List Paragraph"/>
    <w:basedOn w:val="Normal"/>
    <w:uiPriority w:val="34"/>
    <w:qFormat/>
    <w:rsid w:val="003F4DD9"/>
    <w:pPr>
      <w:ind w:left="720"/>
      <w:contextualSpacing/>
    </w:pPr>
  </w:style>
  <w:style w:type="character" w:customStyle="1" w:styleId="EmailStyle30">
    <w:name w:val="EmailStyle30"/>
    <w:semiHidden/>
    <w:rsid w:val="008D1D1B"/>
    <w:rPr>
      <w:rFonts w:ascii="Arial" w:hAnsi="Arial" w:cs="Arial"/>
      <w:color w:val="000080"/>
      <w:sz w:val="20"/>
      <w:szCs w:val="20"/>
    </w:rPr>
  </w:style>
  <w:style w:type="character" w:styleId="CommentReference">
    <w:name w:val="annotation reference"/>
    <w:basedOn w:val="DefaultParagraphFont"/>
    <w:uiPriority w:val="99"/>
    <w:semiHidden/>
    <w:unhideWhenUsed/>
    <w:rsid w:val="00A51A76"/>
    <w:rPr>
      <w:sz w:val="16"/>
      <w:szCs w:val="16"/>
    </w:rPr>
  </w:style>
  <w:style w:type="paragraph" w:styleId="CommentText">
    <w:name w:val="annotation text"/>
    <w:basedOn w:val="Normal"/>
    <w:link w:val="CommentTextChar"/>
    <w:uiPriority w:val="99"/>
    <w:semiHidden/>
    <w:unhideWhenUsed/>
    <w:rsid w:val="00A51A76"/>
    <w:rPr>
      <w:sz w:val="20"/>
      <w:szCs w:val="20"/>
    </w:rPr>
  </w:style>
  <w:style w:type="character" w:customStyle="1" w:styleId="CommentTextChar">
    <w:name w:val="Comment Text Char"/>
    <w:basedOn w:val="DefaultParagraphFont"/>
    <w:link w:val="CommentText"/>
    <w:uiPriority w:val="99"/>
    <w:semiHidden/>
    <w:rsid w:val="00A51A76"/>
    <w:rPr>
      <w:sz w:val="20"/>
      <w:szCs w:val="20"/>
    </w:rPr>
  </w:style>
  <w:style w:type="paragraph" w:styleId="CommentSubject">
    <w:name w:val="annotation subject"/>
    <w:basedOn w:val="CommentText"/>
    <w:next w:val="CommentText"/>
    <w:link w:val="CommentSubjectChar"/>
    <w:uiPriority w:val="99"/>
    <w:semiHidden/>
    <w:unhideWhenUsed/>
    <w:rsid w:val="00A51A76"/>
    <w:rPr>
      <w:b/>
      <w:bCs/>
    </w:rPr>
  </w:style>
  <w:style w:type="character" w:customStyle="1" w:styleId="CommentSubjectChar">
    <w:name w:val="Comment Subject Char"/>
    <w:basedOn w:val="CommentTextChar"/>
    <w:link w:val="CommentSubject"/>
    <w:uiPriority w:val="99"/>
    <w:semiHidden/>
    <w:rsid w:val="00A51A76"/>
    <w:rPr>
      <w:b/>
      <w:bCs/>
      <w:sz w:val="20"/>
      <w:szCs w:val="20"/>
    </w:rPr>
  </w:style>
  <w:style w:type="paragraph" w:styleId="Header">
    <w:name w:val="header"/>
    <w:basedOn w:val="Normal"/>
    <w:link w:val="HeaderChar"/>
    <w:uiPriority w:val="99"/>
    <w:unhideWhenUsed/>
    <w:rsid w:val="003E1036"/>
    <w:pPr>
      <w:tabs>
        <w:tab w:val="center" w:pos="4680"/>
        <w:tab w:val="right" w:pos="9360"/>
      </w:tabs>
      <w:spacing w:before="0"/>
    </w:pPr>
  </w:style>
  <w:style w:type="character" w:customStyle="1" w:styleId="HeaderChar">
    <w:name w:val="Header Char"/>
    <w:basedOn w:val="DefaultParagraphFont"/>
    <w:link w:val="Header"/>
    <w:uiPriority w:val="99"/>
    <w:rsid w:val="003E1036"/>
  </w:style>
  <w:style w:type="paragraph" w:styleId="Footer">
    <w:name w:val="footer"/>
    <w:basedOn w:val="Normal"/>
    <w:link w:val="FooterChar"/>
    <w:uiPriority w:val="99"/>
    <w:unhideWhenUsed/>
    <w:rsid w:val="003E1036"/>
    <w:pPr>
      <w:tabs>
        <w:tab w:val="center" w:pos="4680"/>
        <w:tab w:val="right" w:pos="9360"/>
      </w:tabs>
      <w:spacing w:before="0"/>
    </w:pPr>
  </w:style>
  <w:style w:type="character" w:customStyle="1" w:styleId="FooterChar">
    <w:name w:val="Footer Char"/>
    <w:basedOn w:val="DefaultParagraphFont"/>
    <w:link w:val="Footer"/>
    <w:uiPriority w:val="99"/>
    <w:rsid w:val="003E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7469">
      <w:bodyDiv w:val="1"/>
      <w:marLeft w:val="0"/>
      <w:marRight w:val="0"/>
      <w:marTop w:val="0"/>
      <w:marBottom w:val="0"/>
      <w:divBdr>
        <w:top w:val="none" w:sz="0" w:space="0" w:color="auto"/>
        <w:left w:val="none" w:sz="0" w:space="0" w:color="auto"/>
        <w:bottom w:val="none" w:sz="0" w:space="0" w:color="auto"/>
        <w:right w:val="none" w:sz="0" w:space="0" w:color="auto"/>
      </w:divBdr>
    </w:div>
    <w:div w:id="1334726208">
      <w:bodyDiv w:val="1"/>
      <w:marLeft w:val="0"/>
      <w:marRight w:val="0"/>
      <w:marTop w:val="0"/>
      <w:marBottom w:val="0"/>
      <w:divBdr>
        <w:top w:val="none" w:sz="0" w:space="0" w:color="auto"/>
        <w:left w:val="none" w:sz="0" w:space="0" w:color="auto"/>
        <w:bottom w:val="none" w:sz="0" w:space="0" w:color="auto"/>
        <w:right w:val="none" w:sz="0" w:space="0" w:color="auto"/>
      </w:divBdr>
    </w:div>
    <w:div w:id="1821921610">
      <w:bodyDiv w:val="1"/>
      <w:marLeft w:val="0"/>
      <w:marRight w:val="0"/>
      <w:marTop w:val="0"/>
      <w:marBottom w:val="0"/>
      <w:divBdr>
        <w:top w:val="none" w:sz="0" w:space="0" w:color="auto"/>
        <w:left w:val="none" w:sz="0" w:space="0" w:color="auto"/>
        <w:bottom w:val="none" w:sz="0" w:space="0" w:color="auto"/>
        <w:right w:val="none" w:sz="0" w:space="0" w:color="auto"/>
      </w:divBdr>
    </w:div>
    <w:div w:id="1904443015">
      <w:bodyDiv w:val="1"/>
      <w:marLeft w:val="0"/>
      <w:marRight w:val="0"/>
      <w:marTop w:val="0"/>
      <w:marBottom w:val="0"/>
      <w:divBdr>
        <w:top w:val="none" w:sz="0" w:space="0" w:color="auto"/>
        <w:left w:val="none" w:sz="0" w:space="0" w:color="auto"/>
        <w:bottom w:val="none" w:sz="0" w:space="0" w:color="auto"/>
        <w:right w:val="none" w:sz="0" w:space="0" w:color="auto"/>
      </w:divBdr>
    </w:div>
    <w:div w:id="213054118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jc\PatientData\DePace\EDS%20HyperMobility\EDS%20DB%20raw%2012May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c\PatientData\DePace\Arts%202011%20-%2022\EDS%20HyperMobility\EDS%20DB%20raw%2012May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c\PatientData\DePace\Arts%202011%20-%2022\EDS%20HyperMobility\EDS%20DB%20raw%2012May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P&amp;S History</a:t>
            </a:r>
            <a:br>
              <a:rPr lang="en-US" sz="1200"/>
            </a:br>
            <a:r>
              <a:rPr lang="en-US" sz="1200"/>
              <a:t>(Resting Results)</a:t>
            </a:r>
          </a:p>
        </c:rich>
      </c:tx>
      <c:overlay val="1"/>
    </c:title>
    <c:autoTitleDeleted val="0"/>
    <c:plotArea>
      <c:layout>
        <c:manualLayout>
          <c:layoutTarget val="inner"/>
          <c:xMode val="edge"/>
          <c:yMode val="edge"/>
          <c:x val="0.17230702873259157"/>
          <c:y val="0.12983205530681213"/>
          <c:w val="0.7884753663604549"/>
          <c:h val="0.70186643336249632"/>
        </c:manualLayout>
      </c:layout>
      <c:lineChart>
        <c:grouping val="standard"/>
        <c:varyColors val="0"/>
        <c:ser>
          <c:idx val="1"/>
          <c:order val="0"/>
          <c:tx>
            <c:strRef>
              <c:f>'Bx Test wo Arr'!$N$257</c:f>
              <c:strCache>
                <c:ptCount val="1"/>
                <c:pt idx="0">
                  <c:v>Bx S</c:v>
                </c:pt>
              </c:strCache>
            </c:strRef>
          </c:tx>
          <c:spPr>
            <a:ln>
              <a:solidFill>
                <a:srgbClr val="FF0000"/>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Arr'!$W$248:$W$254</c:f>
              <c:numCache>
                <c:formatCode>0.0</c:formatCode>
                <c:ptCount val="7"/>
                <c:pt idx="0">
                  <c:v>7.6940625000000002</c:v>
                </c:pt>
                <c:pt idx="1">
                  <c:v>6.8858139534883716</c:v>
                </c:pt>
                <c:pt idx="2">
                  <c:v>6.6017307692307705</c:v>
                </c:pt>
                <c:pt idx="3">
                  <c:v>2.511241379310345</c:v>
                </c:pt>
                <c:pt idx="4">
                  <c:v>2.0210714285714286</c:v>
                </c:pt>
                <c:pt idx="5">
                  <c:v>0.90614285714285714</c:v>
                </c:pt>
                <c:pt idx="6">
                  <c:v>0.4916666666666667</c:v>
                </c:pt>
              </c:numCache>
            </c:numRef>
          </c:val>
          <c:smooth val="0"/>
          <c:extLst>
            <c:ext xmlns:c16="http://schemas.microsoft.com/office/drawing/2014/chart" uri="{C3380CC4-5D6E-409C-BE32-E72D297353CC}">
              <c16:uniqueId val="{00000000-13AE-4FCD-BB80-943CC94FF676}"/>
            </c:ext>
          </c:extLst>
        </c:ser>
        <c:ser>
          <c:idx val="0"/>
          <c:order val="1"/>
          <c:tx>
            <c:strRef>
              <c:f>'Bx Test wo Arr'!$N$258</c:f>
              <c:strCache>
                <c:ptCount val="1"/>
                <c:pt idx="0">
                  <c:v>Bx P</c:v>
                </c:pt>
              </c:strCache>
            </c:strRef>
          </c:tx>
          <c:spPr>
            <a:ln>
              <a:solidFill>
                <a:srgbClr val="0000FF"/>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Arr'!$X$248:$X$254</c:f>
              <c:numCache>
                <c:formatCode>0.0</c:formatCode>
                <c:ptCount val="7"/>
                <c:pt idx="0">
                  <c:v>6.4628124999999992</c:v>
                </c:pt>
                <c:pt idx="1">
                  <c:v>6.8018604651162811</c:v>
                </c:pt>
                <c:pt idx="2">
                  <c:v>7.4836538461538469</c:v>
                </c:pt>
                <c:pt idx="3">
                  <c:v>1.9435172413793103</c:v>
                </c:pt>
                <c:pt idx="4">
                  <c:v>1.4557142857142862</c:v>
                </c:pt>
                <c:pt idx="5">
                  <c:v>0.73185714285714287</c:v>
                </c:pt>
                <c:pt idx="6">
                  <c:v>0.22166666666666668</c:v>
                </c:pt>
              </c:numCache>
            </c:numRef>
          </c:val>
          <c:smooth val="0"/>
          <c:extLst>
            <c:ext xmlns:c16="http://schemas.microsoft.com/office/drawing/2014/chart" uri="{C3380CC4-5D6E-409C-BE32-E72D297353CC}">
              <c16:uniqueId val="{00000001-13AE-4FCD-BB80-943CC94FF676}"/>
            </c:ext>
          </c:extLst>
        </c:ser>
        <c:ser>
          <c:idx val="2"/>
          <c:order val="2"/>
          <c:tx>
            <c:strRef>
              <c:f>'Bx Test wo Arr'!$N$259</c:f>
              <c:strCache>
                <c:ptCount val="1"/>
                <c:pt idx="0">
                  <c:v>SB</c:v>
                </c:pt>
              </c:strCache>
            </c:strRef>
          </c:tx>
          <c:spPr>
            <a:ln>
              <a:solidFill>
                <a:schemeClr val="tx1"/>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Arr'!$Y$248:$Y$254</c:f>
              <c:numCache>
                <c:formatCode>0.0</c:formatCode>
                <c:ptCount val="7"/>
                <c:pt idx="0">
                  <c:v>2.3149999999999995</c:v>
                </c:pt>
                <c:pt idx="1">
                  <c:v>1.8708139534883719</c:v>
                </c:pt>
                <c:pt idx="2">
                  <c:v>2.4271153846153846</c:v>
                </c:pt>
                <c:pt idx="3">
                  <c:v>1.6789655172413793</c:v>
                </c:pt>
                <c:pt idx="4">
                  <c:v>2.6157142857142865</c:v>
                </c:pt>
                <c:pt idx="5">
                  <c:v>2.2985714285714285</c:v>
                </c:pt>
                <c:pt idx="6">
                  <c:v>1.9799999999999998</c:v>
                </c:pt>
              </c:numCache>
            </c:numRef>
          </c:val>
          <c:smooth val="0"/>
          <c:extLst>
            <c:ext xmlns:c16="http://schemas.microsoft.com/office/drawing/2014/chart" uri="{C3380CC4-5D6E-409C-BE32-E72D297353CC}">
              <c16:uniqueId val="{00000002-13AE-4FCD-BB80-943CC94FF676}"/>
            </c:ext>
          </c:extLst>
        </c:ser>
        <c:ser>
          <c:idx val="3"/>
          <c:order val="3"/>
          <c:tx>
            <c:strRef>
              <c:f>'Bx Test wo Arr'!$N$260</c:f>
              <c:strCache>
                <c:ptCount val="1"/>
                <c:pt idx="0">
                  <c:v>Nml S</c:v>
                </c:pt>
              </c:strCache>
            </c:strRef>
          </c:tx>
          <c:spPr>
            <a:ln>
              <a:solidFill>
                <a:srgbClr val="FF0000"/>
              </a:solidFill>
              <a:prstDash val="dash"/>
            </a:ln>
          </c:spPr>
          <c:marker>
            <c:symbol val="none"/>
          </c:marker>
          <c:val>
            <c:numRef>
              <c:f>'Bx Test wo Arr'!$A$267:$A$273</c:f>
              <c:numCache>
                <c:formatCode>0.00</c:formatCode>
                <c:ptCount val="7"/>
                <c:pt idx="0">
                  <c:v>5.4565000000000001</c:v>
                </c:pt>
                <c:pt idx="1">
                  <c:v>4.4864999999999995</c:v>
                </c:pt>
                <c:pt idx="2">
                  <c:v>3.5765000000000002</c:v>
                </c:pt>
                <c:pt idx="3">
                  <c:v>2.7264999999999997</c:v>
                </c:pt>
                <c:pt idx="4">
                  <c:v>1.9364999999999997</c:v>
                </c:pt>
                <c:pt idx="5">
                  <c:v>1.2065000000000001</c:v>
                </c:pt>
                <c:pt idx="6">
                  <c:v>0.53649999999999975</c:v>
                </c:pt>
              </c:numCache>
            </c:numRef>
          </c:val>
          <c:smooth val="0"/>
          <c:extLst>
            <c:ext xmlns:c16="http://schemas.microsoft.com/office/drawing/2014/chart" uri="{C3380CC4-5D6E-409C-BE32-E72D297353CC}">
              <c16:uniqueId val="{00000003-13AE-4FCD-BB80-943CC94FF676}"/>
            </c:ext>
          </c:extLst>
        </c:ser>
        <c:ser>
          <c:idx val="4"/>
          <c:order val="4"/>
          <c:tx>
            <c:strRef>
              <c:f>'Bx Test wo Arr'!$N$261</c:f>
              <c:strCache>
                <c:ptCount val="1"/>
                <c:pt idx="0">
                  <c:v>Nml P</c:v>
                </c:pt>
              </c:strCache>
            </c:strRef>
          </c:tx>
          <c:spPr>
            <a:ln>
              <a:solidFill>
                <a:srgbClr val="0000FF"/>
              </a:solidFill>
              <a:prstDash val="dash"/>
            </a:ln>
          </c:spPr>
          <c:marker>
            <c:symbol val="none"/>
          </c:marker>
          <c:val>
            <c:numRef>
              <c:f>'Bx Test wo Arr'!$B$267:$B$273</c:f>
              <c:numCache>
                <c:formatCode>0.00</c:formatCode>
                <c:ptCount val="7"/>
                <c:pt idx="0">
                  <c:v>6.157</c:v>
                </c:pt>
                <c:pt idx="1">
                  <c:v>4.7970000000000006</c:v>
                </c:pt>
                <c:pt idx="2">
                  <c:v>3.637</c:v>
                </c:pt>
                <c:pt idx="3">
                  <c:v>2.6769999999999992</c:v>
                </c:pt>
                <c:pt idx="4">
                  <c:v>1.9170000000000007</c:v>
                </c:pt>
                <c:pt idx="5">
                  <c:v>1.3569999999999993</c:v>
                </c:pt>
                <c:pt idx="6">
                  <c:v>0.99700000000000077</c:v>
                </c:pt>
              </c:numCache>
            </c:numRef>
          </c:val>
          <c:smooth val="0"/>
          <c:extLst>
            <c:ext xmlns:c16="http://schemas.microsoft.com/office/drawing/2014/chart" uri="{C3380CC4-5D6E-409C-BE32-E72D297353CC}">
              <c16:uniqueId val="{00000004-13AE-4FCD-BB80-943CC94FF676}"/>
            </c:ext>
          </c:extLst>
        </c:ser>
        <c:ser>
          <c:idx val="5"/>
          <c:order val="5"/>
          <c:tx>
            <c:strRef>
              <c:f>'Bx Test wo Arr'!$N$262</c:f>
              <c:strCache>
                <c:ptCount val="1"/>
                <c:pt idx="0">
                  <c:v>Nml SB</c:v>
                </c:pt>
              </c:strCache>
            </c:strRef>
          </c:tx>
          <c:spPr>
            <a:ln>
              <a:solidFill>
                <a:schemeClr val="tx1"/>
              </a:solidFill>
              <a:prstDash val="dash"/>
            </a:ln>
          </c:spPr>
          <c:marker>
            <c:symbol val="none"/>
          </c:marker>
          <c:val>
            <c:numRef>
              <c:f>'Bx Test wo Arr'!$C$267:$C$273</c:f>
              <c:numCache>
                <c:formatCode>General</c:formatCode>
                <c:ptCount val="7"/>
                <c:pt idx="0">
                  <c:v>2</c:v>
                </c:pt>
                <c:pt idx="1">
                  <c:v>2</c:v>
                </c:pt>
                <c:pt idx="2">
                  <c:v>2</c:v>
                </c:pt>
                <c:pt idx="3">
                  <c:v>2</c:v>
                </c:pt>
                <c:pt idx="4">
                  <c:v>1</c:v>
                </c:pt>
                <c:pt idx="5">
                  <c:v>1</c:v>
                </c:pt>
                <c:pt idx="6">
                  <c:v>1</c:v>
                </c:pt>
              </c:numCache>
            </c:numRef>
          </c:val>
          <c:smooth val="0"/>
          <c:extLst>
            <c:ext xmlns:c16="http://schemas.microsoft.com/office/drawing/2014/chart" uri="{C3380CC4-5D6E-409C-BE32-E72D297353CC}">
              <c16:uniqueId val="{00000005-13AE-4FCD-BB80-943CC94FF676}"/>
            </c:ext>
          </c:extLst>
        </c:ser>
        <c:ser>
          <c:idx val="6"/>
          <c:order val="6"/>
          <c:tx>
            <c:strRef>
              <c:f>'Bx Test wo Arr'!$N$263</c:f>
              <c:strCache>
                <c:ptCount val="1"/>
                <c:pt idx="0">
                  <c:v>CAN</c:v>
                </c:pt>
              </c:strCache>
            </c:strRef>
          </c:tx>
          <c:spPr>
            <a:ln>
              <a:solidFill>
                <a:schemeClr val="tx1"/>
              </a:solidFill>
              <a:prstDash val="sysDot"/>
            </a:ln>
          </c:spPr>
          <c:marker>
            <c:symbol val="none"/>
          </c:marker>
          <c:val>
            <c:numRef>
              <c:f>'Bx Test wo Arr'!$D$267:$D$273</c:f>
              <c:numCache>
                <c:formatCode>General</c:formatCode>
                <c:ptCount val="7"/>
                <c:pt idx="0">
                  <c:v>1</c:v>
                </c:pt>
                <c:pt idx="1">
                  <c:v>1</c:v>
                </c:pt>
                <c:pt idx="2">
                  <c:v>1</c:v>
                </c:pt>
                <c:pt idx="3">
                  <c:v>1</c:v>
                </c:pt>
                <c:pt idx="4">
                  <c:v>1</c:v>
                </c:pt>
                <c:pt idx="5">
                  <c:v>1</c:v>
                </c:pt>
                <c:pt idx="6">
                  <c:v>1</c:v>
                </c:pt>
              </c:numCache>
            </c:numRef>
          </c:val>
          <c:smooth val="0"/>
          <c:extLst>
            <c:ext xmlns:c16="http://schemas.microsoft.com/office/drawing/2014/chart" uri="{C3380CC4-5D6E-409C-BE32-E72D297353CC}">
              <c16:uniqueId val="{00000006-13AE-4FCD-BB80-943CC94FF676}"/>
            </c:ext>
          </c:extLst>
        </c:ser>
        <c:dLbls>
          <c:showLegendKey val="0"/>
          <c:showVal val="0"/>
          <c:showCatName val="0"/>
          <c:showSerName val="0"/>
          <c:showPercent val="0"/>
          <c:showBubbleSize val="0"/>
        </c:dLbls>
        <c:smooth val="0"/>
        <c:axId val="208748032"/>
        <c:axId val="207845568"/>
      </c:lineChart>
      <c:catAx>
        <c:axId val="208748032"/>
        <c:scaling>
          <c:orientation val="minMax"/>
        </c:scaling>
        <c:delete val="0"/>
        <c:axPos val="b"/>
        <c:title>
          <c:tx>
            <c:rich>
              <a:bodyPr/>
              <a:lstStyle/>
              <a:p>
                <a:pPr>
                  <a:defRPr sz="1200"/>
                </a:pPr>
                <a:r>
                  <a:rPr lang="en-US" sz="1200"/>
                  <a:t>Age (yrs)</a:t>
                </a:r>
              </a:p>
            </c:rich>
          </c:tx>
          <c:overlay val="0"/>
        </c:title>
        <c:numFmt formatCode="General" sourceLinked="1"/>
        <c:majorTickMark val="out"/>
        <c:minorTickMark val="none"/>
        <c:tickLblPos val="nextTo"/>
        <c:crossAx val="207845568"/>
        <c:crosses val="autoZero"/>
        <c:auto val="1"/>
        <c:lblAlgn val="ctr"/>
        <c:lblOffset val="100"/>
        <c:noMultiLvlLbl val="0"/>
      </c:catAx>
      <c:valAx>
        <c:axId val="207845568"/>
        <c:scaling>
          <c:orientation val="minMax"/>
        </c:scaling>
        <c:delete val="0"/>
        <c:axPos val="l"/>
        <c:title>
          <c:tx>
            <c:rich>
              <a:bodyPr rot="-5400000" vert="horz"/>
              <a:lstStyle/>
              <a:p>
                <a:pPr>
                  <a:defRPr sz="1200"/>
                </a:pPr>
                <a:r>
                  <a:rPr lang="en-US" sz="1200"/>
                  <a:t>Activity (bpm</a:t>
                </a:r>
                <a:r>
                  <a:rPr lang="en-US" sz="1200" baseline="30000"/>
                  <a:t>2</a:t>
                </a:r>
                <a:r>
                  <a:rPr lang="en-US" sz="1200"/>
                  <a:t>)</a:t>
                </a:r>
              </a:p>
            </c:rich>
          </c:tx>
          <c:layout>
            <c:manualLayout>
              <c:xMode val="edge"/>
              <c:yMode val="edge"/>
              <c:x val="0"/>
              <c:y val="0.28126906433993049"/>
            </c:manualLayout>
          </c:layout>
          <c:overlay val="0"/>
        </c:title>
        <c:numFmt formatCode="0.0" sourceLinked="1"/>
        <c:majorTickMark val="out"/>
        <c:minorTickMark val="none"/>
        <c:tickLblPos val="nextTo"/>
        <c:crossAx val="208748032"/>
        <c:crosses val="autoZero"/>
        <c:crossBetween val="between"/>
      </c:valAx>
      <c:spPr>
        <a:noFill/>
      </c:spPr>
    </c:plotArea>
    <c:legend>
      <c:legendPos val="r"/>
      <c:layout>
        <c:manualLayout>
          <c:xMode val="edge"/>
          <c:yMode val="edge"/>
          <c:x val="0.6671710958005248"/>
          <c:y val="0.19262175561388159"/>
          <c:w val="0.31395621445756777"/>
          <c:h val="0.41372995483832525"/>
        </c:manualLayou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Hemodynamics</a:t>
            </a:r>
          </a:p>
        </c:rich>
      </c:tx>
      <c:layout>
        <c:manualLayout>
          <c:xMode val="edge"/>
          <c:yMode val="edge"/>
          <c:x val="0.34200678040244964"/>
          <c:y val="1.582382197022459E-2"/>
        </c:manualLayout>
      </c:layout>
      <c:overlay val="1"/>
    </c:title>
    <c:autoTitleDeleted val="0"/>
    <c:plotArea>
      <c:layout>
        <c:manualLayout>
          <c:layoutTarget val="inner"/>
          <c:xMode val="edge"/>
          <c:yMode val="edge"/>
          <c:x val="0.27347477398658498"/>
          <c:y val="5.1400554097404488E-2"/>
          <c:w val="0.68736621463983683"/>
          <c:h val="0.76245913459568848"/>
        </c:manualLayout>
      </c:layout>
      <c:lineChart>
        <c:grouping val="standard"/>
        <c:varyColors val="0"/>
        <c:ser>
          <c:idx val="1"/>
          <c:order val="0"/>
          <c:tx>
            <c:strRef>
              <c:f>'Bx Test wo Arr'!$S$1</c:f>
              <c:strCache>
                <c:ptCount val="1"/>
                <c:pt idx="0">
                  <c:v>Bx1 meanHR</c:v>
                </c:pt>
              </c:strCache>
            </c:strRef>
          </c:tx>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Arr'!$S$248:$S$254</c:f>
              <c:numCache>
                <c:formatCode>0.0</c:formatCode>
                <c:ptCount val="7"/>
                <c:pt idx="0">
                  <c:v>88.21875</c:v>
                </c:pt>
                <c:pt idx="1">
                  <c:v>86.232558139534888</c:v>
                </c:pt>
                <c:pt idx="2">
                  <c:v>84.67307692307692</c:v>
                </c:pt>
                <c:pt idx="3">
                  <c:v>79.724137931034477</c:v>
                </c:pt>
                <c:pt idx="4">
                  <c:v>75.034482758620683</c:v>
                </c:pt>
                <c:pt idx="5">
                  <c:v>69.571428571428569</c:v>
                </c:pt>
                <c:pt idx="6">
                  <c:v>75.875</c:v>
                </c:pt>
              </c:numCache>
            </c:numRef>
          </c:val>
          <c:smooth val="0"/>
          <c:extLst>
            <c:ext xmlns:c16="http://schemas.microsoft.com/office/drawing/2014/chart" uri="{C3380CC4-5D6E-409C-BE32-E72D297353CC}">
              <c16:uniqueId val="{00000000-DA09-4773-A990-3D71B791F79D}"/>
            </c:ext>
          </c:extLst>
        </c:ser>
        <c:ser>
          <c:idx val="0"/>
          <c:order val="1"/>
          <c:tx>
            <c:strRef>
              <c:f>'Bx Test wo Arr'!$AJ$1</c:f>
              <c:strCache>
                <c:ptCount val="1"/>
                <c:pt idx="0">
                  <c:v>Bx1 SYS</c:v>
                </c:pt>
              </c:strCache>
            </c:strRef>
          </c:tx>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Arr'!$AJ$248:$AJ$254</c:f>
              <c:numCache>
                <c:formatCode>0.0</c:formatCode>
                <c:ptCount val="7"/>
                <c:pt idx="0">
                  <c:v>115.46875</c:v>
                </c:pt>
                <c:pt idx="1">
                  <c:v>121.19767441860465</c:v>
                </c:pt>
                <c:pt idx="2">
                  <c:v>123.21153846153847</c:v>
                </c:pt>
                <c:pt idx="3">
                  <c:v>124.10344827586206</c:v>
                </c:pt>
                <c:pt idx="4">
                  <c:v>137.55172413793105</c:v>
                </c:pt>
                <c:pt idx="5">
                  <c:v>137.5</c:v>
                </c:pt>
                <c:pt idx="6">
                  <c:v>136.66666666666666</c:v>
                </c:pt>
              </c:numCache>
            </c:numRef>
          </c:val>
          <c:smooth val="0"/>
          <c:extLst>
            <c:ext xmlns:c16="http://schemas.microsoft.com/office/drawing/2014/chart" uri="{C3380CC4-5D6E-409C-BE32-E72D297353CC}">
              <c16:uniqueId val="{00000001-DA09-4773-A990-3D71B791F79D}"/>
            </c:ext>
          </c:extLst>
        </c:ser>
        <c:ser>
          <c:idx val="2"/>
          <c:order val="2"/>
          <c:tx>
            <c:strRef>
              <c:f>'Bx Test wo Arr'!$AK$1</c:f>
              <c:strCache>
                <c:ptCount val="1"/>
                <c:pt idx="0">
                  <c:v>Bx1 DIAS</c:v>
                </c:pt>
              </c:strCache>
            </c:strRef>
          </c:tx>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Arr'!$AK$248:$AK$254</c:f>
              <c:numCache>
                <c:formatCode>0.0</c:formatCode>
                <c:ptCount val="7"/>
                <c:pt idx="0">
                  <c:v>70.65625</c:v>
                </c:pt>
                <c:pt idx="1">
                  <c:v>76.534883720930239</c:v>
                </c:pt>
                <c:pt idx="2">
                  <c:v>79.288461538461533</c:v>
                </c:pt>
                <c:pt idx="3">
                  <c:v>80.34482758620689</c:v>
                </c:pt>
                <c:pt idx="4">
                  <c:v>83.482758620689651</c:v>
                </c:pt>
                <c:pt idx="5">
                  <c:v>78</c:v>
                </c:pt>
                <c:pt idx="6">
                  <c:v>71.666666666666671</c:v>
                </c:pt>
              </c:numCache>
            </c:numRef>
          </c:val>
          <c:smooth val="0"/>
          <c:extLst>
            <c:ext xmlns:c16="http://schemas.microsoft.com/office/drawing/2014/chart" uri="{C3380CC4-5D6E-409C-BE32-E72D297353CC}">
              <c16:uniqueId val="{00000002-DA09-4773-A990-3D71B791F79D}"/>
            </c:ext>
          </c:extLst>
        </c:ser>
        <c:dLbls>
          <c:showLegendKey val="0"/>
          <c:showVal val="0"/>
          <c:showCatName val="0"/>
          <c:showSerName val="0"/>
          <c:showPercent val="0"/>
          <c:showBubbleSize val="0"/>
        </c:dLbls>
        <c:smooth val="0"/>
        <c:axId val="70021632"/>
        <c:axId val="1045393344"/>
      </c:lineChart>
      <c:catAx>
        <c:axId val="70021632"/>
        <c:scaling>
          <c:orientation val="minMax"/>
        </c:scaling>
        <c:delete val="0"/>
        <c:axPos val="b"/>
        <c:title>
          <c:tx>
            <c:rich>
              <a:bodyPr/>
              <a:lstStyle/>
              <a:p>
                <a:pPr>
                  <a:defRPr/>
                </a:pPr>
                <a:r>
                  <a:rPr lang="en-US" sz="1400"/>
                  <a:t>Age (yrs)</a:t>
                </a:r>
              </a:p>
            </c:rich>
          </c:tx>
          <c:overlay val="0"/>
        </c:title>
        <c:numFmt formatCode="General" sourceLinked="1"/>
        <c:majorTickMark val="out"/>
        <c:minorTickMark val="none"/>
        <c:tickLblPos val="nextTo"/>
        <c:crossAx val="1045393344"/>
        <c:crosses val="autoZero"/>
        <c:auto val="1"/>
        <c:lblAlgn val="ctr"/>
        <c:lblOffset val="100"/>
        <c:noMultiLvlLbl val="0"/>
      </c:catAx>
      <c:valAx>
        <c:axId val="1045393344"/>
        <c:scaling>
          <c:orientation val="minMax"/>
        </c:scaling>
        <c:delete val="0"/>
        <c:axPos val="l"/>
        <c:title>
          <c:tx>
            <c:rich>
              <a:bodyPr/>
              <a:lstStyle/>
              <a:p>
                <a:pPr>
                  <a:defRPr/>
                </a:pPr>
                <a:r>
                  <a:rPr lang="en-US" sz="1400"/>
                  <a:t>HR (bpm), BP (mmHg)</a:t>
                </a:r>
              </a:p>
            </c:rich>
          </c:tx>
          <c:overlay val="0"/>
        </c:title>
        <c:numFmt formatCode="0.0" sourceLinked="1"/>
        <c:majorTickMark val="out"/>
        <c:minorTickMark val="none"/>
        <c:tickLblPos val="nextTo"/>
        <c:crossAx val="70021632"/>
        <c:crosses val="autoZero"/>
        <c:crossBetween val="between"/>
      </c:valAx>
    </c:plotArea>
    <c:legend>
      <c:legendPos val="r"/>
      <c:layout>
        <c:manualLayout>
          <c:xMode val="edge"/>
          <c:yMode val="edge"/>
          <c:x val="0.39719087197433656"/>
          <c:y val="0.50611798115399509"/>
          <c:w val="0.45119823563721201"/>
          <c:h val="0.1907810105942792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HRV-Alone Results</a:t>
            </a:r>
          </a:p>
        </c:rich>
      </c:tx>
      <c:overlay val="1"/>
    </c:title>
    <c:autoTitleDeleted val="0"/>
    <c:plotArea>
      <c:layout>
        <c:manualLayout>
          <c:layoutTarget val="inner"/>
          <c:xMode val="edge"/>
          <c:yMode val="edge"/>
          <c:x val="0.22893992417614464"/>
          <c:y val="0.14648547521638125"/>
          <c:w val="0.57189195100612422"/>
          <c:h val="0.67196110277338061"/>
        </c:manualLayout>
      </c:layout>
      <c:lineChart>
        <c:grouping val="standard"/>
        <c:varyColors val="0"/>
        <c:ser>
          <c:idx val="1"/>
          <c:order val="0"/>
          <c:tx>
            <c:strRef>
              <c:f>'Bx Test wo Arr'!$AD$1</c:f>
              <c:strCache>
                <c:ptCount val="1"/>
                <c:pt idx="0">
                  <c:v>Bx1 LFnu</c:v>
                </c:pt>
              </c:strCache>
            </c:strRef>
          </c:tx>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Arr'!$AD$248:$AD$254</c:f>
              <c:numCache>
                <c:formatCode>0.0</c:formatCode>
                <c:ptCount val="7"/>
                <c:pt idx="0">
                  <c:v>64.375</c:v>
                </c:pt>
                <c:pt idx="1">
                  <c:v>63.058139534883722</c:v>
                </c:pt>
                <c:pt idx="2">
                  <c:v>62.769230769230766</c:v>
                </c:pt>
                <c:pt idx="3">
                  <c:v>64.103448275862064</c:v>
                </c:pt>
                <c:pt idx="4">
                  <c:v>63.379310344827587</c:v>
                </c:pt>
                <c:pt idx="5">
                  <c:v>56.857142857142854</c:v>
                </c:pt>
                <c:pt idx="6">
                  <c:v>57.5</c:v>
                </c:pt>
              </c:numCache>
            </c:numRef>
          </c:val>
          <c:smooth val="0"/>
          <c:extLst>
            <c:ext xmlns:c16="http://schemas.microsoft.com/office/drawing/2014/chart" uri="{C3380CC4-5D6E-409C-BE32-E72D297353CC}">
              <c16:uniqueId val="{00000000-87EC-4E1E-8DDE-1D9F772B1A7F}"/>
            </c:ext>
          </c:extLst>
        </c:ser>
        <c:ser>
          <c:idx val="0"/>
          <c:order val="1"/>
          <c:tx>
            <c:strRef>
              <c:f>'Bx Test wo Arr'!$AE$1</c:f>
              <c:strCache>
                <c:ptCount val="1"/>
                <c:pt idx="0">
                  <c:v>Bx1 HFnu</c:v>
                </c:pt>
              </c:strCache>
            </c:strRef>
          </c:tx>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Arr'!$AE$248:$AE$254</c:f>
              <c:numCache>
                <c:formatCode>0.0</c:formatCode>
                <c:ptCount val="7"/>
                <c:pt idx="0">
                  <c:v>35.625</c:v>
                </c:pt>
                <c:pt idx="1">
                  <c:v>36.941860465116278</c:v>
                </c:pt>
                <c:pt idx="2">
                  <c:v>37.230769230769234</c:v>
                </c:pt>
                <c:pt idx="3">
                  <c:v>35.896551724137929</c:v>
                </c:pt>
                <c:pt idx="4">
                  <c:v>36.620689655172413</c:v>
                </c:pt>
                <c:pt idx="5">
                  <c:v>43.142857142857146</c:v>
                </c:pt>
                <c:pt idx="6">
                  <c:v>42.5</c:v>
                </c:pt>
              </c:numCache>
            </c:numRef>
          </c:val>
          <c:smooth val="0"/>
          <c:extLst>
            <c:ext xmlns:c16="http://schemas.microsoft.com/office/drawing/2014/chart" uri="{C3380CC4-5D6E-409C-BE32-E72D297353CC}">
              <c16:uniqueId val="{00000001-87EC-4E1E-8DDE-1D9F772B1A7F}"/>
            </c:ext>
          </c:extLst>
        </c:ser>
        <c:dLbls>
          <c:showLegendKey val="0"/>
          <c:showVal val="0"/>
          <c:showCatName val="0"/>
          <c:showSerName val="0"/>
          <c:showPercent val="0"/>
          <c:showBubbleSize val="0"/>
        </c:dLbls>
        <c:marker val="1"/>
        <c:smooth val="0"/>
        <c:axId val="235449344"/>
        <c:axId val="1047602304"/>
      </c:lineChart>
      <c:lineChart>
        <c:grouping val="standard"/>
        <c:varyColors val="0"/>
        <c:ser>
          <c:idx val="2"/>
          <c:order val="2"/>
          <c:tx>
            <c:strRef>
              <c:f>'Bx Test wo Arr'!$AC$1</c:f>
              <c:strCache>
                <c:ptCount val="1"/>
                <c:pt idx="0">
                  <c:v>Bx1 LF/HF</c:v>
                </c:pt>
              </c:strCache>
            </c:strRef>
          </c:tx>
          <c:marker>
            <c:symbol val="none"/>
          </c:marker>
          <c:val>
            <c:numRef>
              <c:f>'Bx Test wo Arr'!$AC$248:$AC$254</c:f>
              <c:numCache>
                <c:formatCode>0.0</c:formatCode>
                <c:ptCount val="7"/>
                <c:pt idx="0">
                  <c:v>2.6681250000000003</c:v>
                </c:pt>
                <c:pt idx="1">
                  <c:v>2.5013953488372098</c:v>
                </c:pt>
                <c:pt idx="2">
                  <c:v>2.9857692307692307</c:v>
                </c:pt>
                <c:pt idx="3">
                  <c:v>3.6779310344827594</c:v>
                </c:pt>
                <c:pt idx="4">
                  <c:v>2.9944827586206899</c:v>
                </c:pt>
                <c:pt idx="5">
                  <c:v>2.6599999999999997</c:v>
                </c:pt>
                <c:pt idx="6">
                  <c:v>1.7787500000000003</c:v>
                </c:pt>
              </c:numCache>
            </c:numRef>
          </c:val>
          <c:smooth val="0"/>
          <c:extLst>
            <c:ext xmlns:c16="http://schemas.microsoft.com/office/drawing/2014/chart" uri="{C3380CC4-5D6E-409C-BE32-E72D297353CC}">
              <c16:uniqueId val="{00000002-87EC-4E1E-8DDE-1D9F772B1A7F}"/>
            </c:ext>
          </c:extLst>
        </c:ser>
        <c:dLbls>
          <c:showLegendKey val="0"/>
          <c:showVal val="0"/>
          <c:showCatName val="0"/>
          <c:showSerName val="0"/>
          <c:showPercent val="0"/>
          <c:showBubbleSize val="0"/>
        </c:dLbls>
        <c:marker val="1"/>
        <c:smooth val="0"/>
        <c:axId val="1062067712"/>
        <c:axId val="1047602880"/>
      </c:lineChart>
      <c:catAx>
        <c:axId val="235449344"/>
        <c:scaling>
          <c:orientation val="minMax"/>
        </c:scaling>
        <c:delete val="0"/>
        <c:axPos val="b"/>
        <c:title>
          <c:tx>
            <c:rich>
              <a:bodyPr/>
              <a:lstStyle/>
              <a:p>
                <a:pPr>
                  <a:defRPr/>
                </a:pPr>
                <a:r>
                  <a:rPr lang="en-US" sz="1400"/>
                  <a:t>Age (yrs)</a:t>
                </a:r>
              </a:p>
            </c:rich>
          </c:tx>
          <c:overlay val="0"/>
        </c:title>
        <c:numFmt formatCode="General" sourceLinked="1"/>
        <c:majorTickMark val="out"/>
        <c:minorTickMark val="none"/>
        <c:tickLblPos val="nextTo"/>
        <c:crossAx val="1047602304"/>
        <c:crosses val="autoZero"/>
        <c:auto val="1"/>
        <c:lblAlgn val="ctr"/>
        <c:lblOffset val="100"/>
        <c:noMultiLvlLbl val="0"/>
      </c:catAx>
      <c:valAx>
        <c:axId val="1047602304"/>
        <c:scaling>
          <c:orientation val="minMax"/>
          <c:max val="70"/>
        </c:scaling>
        <c:delete val="0"/>
        <c:axPos val="l"/>
        <c:title>
          <c:tx>
            <c:rich>
              <a:bodyPr/>
              <a:lstStyle/>
              <a:p>
                <a:pPr>
                  <a:defRPr/>
                </a:pPr>
                <a:r>
                  <a:rPr lang="en-US" sz="1400"/>
                  <a:t>LFnu, Hfnu (msec</a:t>
                </a:r>
                <a:r>
                  <a:rPr lang="en-US" sz="1400" baseline="30000"/>
                  <a:t>2</a:t>
                </a:r>
                <a:r>
                  <a:rPr lang="en-US" sz="1400"/>
                  <a:t>)</a:t>
                </a:r>
              </a:p>
            </c:rich>
          </c:tx>
          <c:overlay val="0"/>
        </c:title>
        <c:numFmt formatCode="0.0" sourceLinked="1"/>
        <c:majorTickMark val="out"/>
        <c:minorTickMark val="none"/>
        <c:tickLblPos val="nextTo"/>
        <c:crossAx val="235449344"/>
        <c:crosses val="autoZero"/>
        <c:crossBetween val="between"/>
      </c:valAx>
      <c:valAx>
        <c:axId val="1047602880"/>
        <c:scaling>
          <c:orientation val="minMax"/>
          <c:max val="4"/>
        </c:scaling>
        <c:delete val="0"/>
        <c:axPos val="r"/>
        <c:title>
          <c:tx>
            <c:rich>
              <a:bodyPr/>
              <a:lstStyle/>
              <a:p>
                <a:pPr>
                  <a:defRPr/>
                </a:pPr>
                <a:r>
                  <a:rPr lang="en-US" sz="1400"/>
                  <a:t>LF/HF (unitless)</a:t>
                </a:r>
              </a:p>
            </c:rich>
          </c:tx>
          <c:overlay val="0"/>
        </c:title>
        <c:numFmt formatCode="0.0" sourceLinked="1"/>
        <c:majorTickMark val="out"/>
        <c:minorTickMark val="none"/>
        <c:tickLblPos val="nextTo"/>
        <c:crossAx val="1062067712"/>
        <c:crosses val="max"/>
        <c:crossBetween val="between"/>
      </c:valAx>
      <c:catAx>
        <c:axId val="1062067712"/>
        <c:scaling>
          <c:orientation val="minMax"/>
        </c:scaling>
        <c:delete val="1"/>
        <c:axPos val="b"/>
        <c:majorTickMark val="out"/>
        <c:minorTickMark val="none"/>
        <c:tickLblPos val="nextTo"/>
        <c:crossAx val="1047602880"/>
        <c:crosses val="autoZero"/>
        <c:auto val="1"/>
        <c:lblAlgn val="ctr"/>
        <c:lblOffset val="100"/>
        <c:noMultiLvlLbl val="0"/>
      </c:catAx>
    </c:plotArea>
    <c:legend>
      <c:legendPos val="r"/>
      <c:layout>
        <c:manualLayout>
          <c:xMode val="edge"/>
          <c:yMode val="edge"/>
          <c:x val="0.34585121012856646"/>
          <c:y val="0.48913248139064586"/>
          <c:w val="0.27358623009136929"/>
          <c:h val="0.2443636944030644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5038</TotalTime>
  <Pages>11</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36</cp:revision>
  <dcterms:created xsi:type="dcterms:W3CDTF">2020-11-30T19:27:00Z</dcterms:created>
  <dcterms:modified xsi:type="dcterms:W3CDTF">2022-11-15T17:16:00Z</dcterms:modified>
</cp:coreProperties>
</file>